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p>
    <w:p>
      <w:pPr>
        <w:pStyle w:val="4"/>
        <w:rPr>
          <w:rFonts w:hint="eastAsia"/>
          <w:color w:val="auto"/>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新宋体" w:hAnsi="新宋体" w:eastAsia="新宋体" w:cs="新宋体"/>
          <w:i w:val="0"/>
          <w:caps w:val="0"/>
          <w:color w:val="auto"/>
          <w:spacing w:val="0"/>
          <w:kern w:val="0"/>
          <w:sz w:val="27"/>
          <w:szCs w:val="27"/>
          <w:shd w:val="clear" w:fill="FFFFFF"/>
          <w:lang w:val="en-US" w:eastAsia="zh-CN" w:bidi="ar"/>
        </w:rPr>
      </w:pPr>
      <w:r>
        <w:rPr>
          <w:rFonts w:hint="eastAsia" w:ascii="方正小标宋简体" w:hAnsi="方正小标宋简体" w:eastAsia="方正小标宋简体" w:cs="方正小标宋简体"/>
          <w:color w:val="auto"/>
          <w:sz w:val="44"/>
          <w:szCs w:val="44"/>
        </w:rPr>
        <w:t>关于</w:t>
      </w:r>
      <w:r>
        <w:rPr>
          <w:rFonts w:hint="eastAsia" w:ascii="方正小标宋简体" w:hAnsi="方正小标宋简体" w:eastAsia="方正小标宋简体" w:cs="方正小标宋简体"/>
          <w:color w:val="auto"/>
          <w:sz w:val="44"/>
          <w:szCs w:val="44"/>
          <w:lang w:val="en-US" w:eastAsia="zh-CN"/>
        </w:rPr>
        <w:t>公开征求黑龙江省失信惩戒措施补充清单（2024年版）修改意见建议的公告</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为增强政府部门政策制定的透明度和参与度，集中民智、反映民意，确保规范性文件合法、适当，现将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黑龙江省失信惩戒措施补充清单（2024年版）（公开征求意见稿）》予以公布，广泛听取社会各界的意见。</w:t>
      </w:r>
      <w:r>
        <w:rPr>
          <w:rFonts w:hint="eastAsia" w:ascii="仿宋" w:hAnsi="仿宋" w:eastAsia="仿宋" w:cs="仿宋"/>
          <w:color w:val="auto"/>
          <w:sz w:val="32"/>
          <w:szCs w:val="32"/>
          <w:lang w:val="en-US" w:eastAsia="zh-CN"/>
        </w:rPr>
        <w:t>请提出意见的单位、组织和个人，于202</w:t>
      </w:r>
      <w:r>
        <w:rPr>
          <w:rFonts w:hint="eastAsia" w:ascii="仿宋" w:hAnsi="仿宋" w:cs="仿宋"/>
          <w:color w:val="auto"/>
          <w:sz w:val="32"/>
          <w:szCs w:val="32"/>
          <w:lang w:val="en-US" w:eastAsia="zh-CN"/>
        </w:rPr>
        <w:t>4</w:t>
      </w:r>
      <w:r>
        <w:rPr>
          <w:rFonts w:hint="eastAsia" w:ascii="仿宋" w:hAnsi="仿宋" w:eastAsia="仿宋" w:cs="仿宋"/>
          <w:color w:val="auto"/>
          <w:sz w:val="32"/>
          <w:szCs w:val="32"/>
          <w:lang w:val="en-US" w:eastAsia="zh-CN"/>
        </w:rPr>
        <w:t>年</w:t>
      </w:r>
      <w:r>
        <w:rPr>
          <w:rFonts w:hint="eastAsia" w:ascii="仿宋" w:hAnsi="仿宋" w:cs="仿宋"/>
          <w:color w:val="auto"/>
          <w:sz w:val="32"/>
          <w:szCs w:val="32"/>
          <w:lang w:val="en-US" w:eastAsia="zh-CN"/>
        </w:rPr>
        <w:t>5</w:t>
      </w:r>
      <w:r>
        <w:rPr>
          <w:rFonts w:hint="eastAsia" w:ascii="仿宋" w:hAnsi="仿宋" w:eastAsia="仿宋" w:cs="仿宋"/>
          <w:color w:val="auto"/>
          <w:sz w:val="32"/>
          <w:szCs w:val="32"/>
          <w:lang w:val="en-US" w:eastAsia="zh-CN"/>
        </w:rPr>
        <w:t>月</w:t>
      </w:r>
      <w:r>
        <w:rPr>
          <w:rFonts w:hint="eastAsia" w:ascii="仿宋" w:hAnsi="仿宋" w:cs="仿宋"/>
          <w:color w:val="auto"/>
          <w:sz w:val="32"/>
          <w:szCs w:val="32"/>
          <w:lang w:val="en-US" w:eastAsia="zh-CN"/>
        </w:rPr>
        <w:t>9</w:t>
      </w:r>
      <w:r>
        <w:rPr>
          <w:rFonts w:hint="eastAsia" w:ascii="仿宋" w:hAnsi="仿宋" w:eastAsia="仿宋" w:cs="仿宋"/>
          <w:color w:val="auto"/>
          <w:sz w:val="32"/>
          <w:szCs w:val="32"/>
          <w:lang w:val="en-US" w:eastAsia="zh-CN"/>
        </w:rPr>
        <w:t>日前将意见通过以下两种方式反馈至黑龙江省营商环境建设监督局，并请同时提供有效联系方式。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一、电子邮件发送至sysjcxc@126.com。</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二、以信函方式将意见邮寄至省营商环境建设监督局，地址：黑龙江省哈尔滨市道里区高谊街65号。</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cs="仿宋"/>
          <w:color w:val="auto"/>
          <w:sz w:val="32"/>
          <w:szCs w:val="32"/>
          <w:lang w:val="en-US" w:eastAsia="zh-CN"/>
        </w:rPr>
        <w:t xml:space="preserve">                    </w:t>
      </w:r>
      <w:r>
        <w:rPr>
          <w:rFonts w:hint="eastAsia" w:ascii="仿宋" w:hAnsi="仿宋" w:eastAsia="仿宋" w:cs="仿宋"/>
          <w:color w:val="auto"/>
          <w:sz w:val="32"/>
          <w:szCs w:val="32"/>
          <w:lang w:val="en-US" w:eastAsia="zh-CN"/>
        </w:rPr>
        <w:t>黑龙江省营商环境建设监督局</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w:t>
      </w:r>
      <w:r>
        <w:rPr>
          <w:rFonts w:hint="eastAsia" w:ascii="仿宋" w:hAnsi="仿宋" w:cs="仿宋"/>
          <w:color w:val="auto"/>
          <w:sz w:val="32"/>
          <w:szCs w:val="32"/>
          <w:lang w:val="en-US" w:eastAsia="zh-CN"/>
        </w:rPr>
        <w:t xml:space="preserve">         </w:t>
      </w:r>
      <w:r>
        <w:rPr>
          <w:rFonts w:hint="eastAsia" w:ascii="仿宋" w:hAnsi="仿宋" w:eastAsia="仿宋" w:cs="仿宋"/>
          <w:color w:val="auto"/>
          <w:sz w:val="32"/>
          <w:szCs w:val="32"/>
          <w:lang w:val="en-US" w:eastAsia="zh-CN"/>
        </w:rPr>
        <w:t>    </w:t>
      </w:r>
      <w:r>
        <w:rPr>
          <w:rFonts w:hint="eastAsia" w:ascii="仿宋" w:hAnsi="仿宋" w:cs="仿宋"/>
          <w:color w:val="auto"/>
          <w:sz w:val="32"/>
          <w:szCs w:val="32"/>
          <w:lang w:val="en-US" w:eastAsia="zh-CN"/>
        </w:rPr>
        <w:t xml:space="preserve">   </w:t>
      </w:r>
      <w:r>
        <w:rPr>
          <w:rFonts w:hint="eastAsia" w:ascii="仿宋" w:hAnsi="仿宋" w:eastAsia="仿宋" w:cs="仿宋"/>
          <w:color w:val="auto"/>
          <w:sz w:val="32"/>
          <w:szCs w:val="32"/>
          <w:lang w:val="en-US" w:eastAsia="zh-CN"/>
        </w:rPr>
        <w:t>  202</w:t>
      </w:r>
      <w:r>
        <w:rPr>
          <w:rFonts w:hint="eastAsia" w:ascii="仿宋" w:hAnsi="仿宋" w:cs="仿宋"/>
          <w:color w:val="auto"/>
          <w:sz w:val="32"/>
          <w:szCs w:val="32"/>
          <w:lang w:val="en-US" w:eastAsia="zh-CN"/>
        </w:rPr>
        <w:t>4</w:t>
      </w:r>
      <w:r>
        <w:rPr>
          <w:rFonts w:hint="eastAsia" w:ascii="仿宋" w:hAnsi="仿宋" w:eastAsia="仿宋" w:cs="仿宋"/>
          <w:color w:val="auto"/>
          <w:sz w:val="32"/>
          <w:szCs w:val="32"/>
          <w:lang w:val="en-US" w:eastAsia="zh-CN"/>
        </w:rPr>
        <w:t>年4月</w:t>
      </w:r>
      <w:r>
        <w:rPr>
          <w:rFonts w:hint="eastAsia" w:ascii="仿宋" w:hAnsi="仿宋" w:cs="仿宋"/>
          <w:color w:val="auto"/>
          <w:sz w:val="32"/>
          <w:szCs w:val="32"/>
          <w:lang w:val="en-US" w:eastAsia="zh-CN"/>
        </w:rPr>
        <w:t>25</w:t>
      </w:r>
      <w:r>
        <w:rPr>
          <w:rFonts w:hint="eastAsia" w:ascii="仿宋" w:hAnsi="仿宋" w:eastAsia="仿宋" w:cs="仿宋"/>
          <w:color w:val="auto"/>
          <w:sz w:val="32"/>
          <w:szCs w:val="32"/>
          <w:lang w:val="en-US" w:eastAsia="zh-CN"/>
        </w:rPr>
        <w:t>日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lang w:val="en-US" w:eastAsia="zh-CN"/>
        </w:rPr>
      </w:pPr>
    </w:p>
    <w:p>
      <w:pPr>
        <w:pStyle w:val="4"/>
        <w:rPr>
          <w:rFonts w:hint="eastAsia" w:ascii="仿宋" w:hAnsi="仿宋" w:eastAsia="仿宋" w:cs="仿宋"/>
          <w:color w:val="auto"/>
          <w:sz w:val="32"/>
          <w:szCs w:val="32"/>
          <w:lang w:val="en-US" w:eastAsia="zh-CN"/>
        </w:rPr>
      </w:pPr>
    </w:p>
    <w:p>
      <w:pPr>
        <w:pStyle w:val="5"/>
        <w:rPr>
          <w:rFonts w:hint="eastAsia" w:ascii="仿宋" w:hAnsi="仿宋" w:eastAsia="仿宋" w:cs="仿宋"/>
          <w:color w:val="auto"/>
          <w:sz w:val="32"/>
          <w:szCs w:val="32"/>
          <w:lang w:val="en-US" w:eastAsia="zh-CN"/>
        </w:rPr>
      </w:pPr>
    </w:p>
    <w:p>
      <w:pPr>
        <w:keepNext w:val="0"/>
        <w:keepLines w:val="0"/>
        <w:widowControl w:val="0"/>
        <w:suppressLineNumbers w:val="0"/>
        <w:autoSpaceDE w:val="0"/>
        <w:autoSpaceDN/>
        <w:spacing w:before="0" w:beforeAutospacing="0" w:after="0" w:afterAutospacing="0" w:line="579" w:lineRule="exact"/>
        <w:ind w:left="0" w:right="0"/>
        <w:jc w:val="center"/>
        <w:rPr>
          <w:rFonts w:hint="eastAsia" w:ascii="方正小标宋简体" w:hAnsi="方正小标宋简体" w:eastAsia="方正小标宋简体" w:cs="方正小标宋简体"/>
          <w:b w:val="0"/>
          <w:bCs w:val="0"/>
          <w:color w:val="auto"/>
          <w:kern w:val="2"/>
          <w:sz w:val="44"/>
          <w:szCs w:val="44"/>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val="0"/>
        <w:suppressLineNumbers w:val="0"/>
        <w:autoSpaceDE w:val="0"/>
        <w:autoSpaceDN/>
        <w:spacing w:before="0" w:beforeAutospacing="0" w:after="0" w:afterAutospacing="0" w:line="579" w:lineRule="exact"/>
        <w:ind w:left="0" w:right="0"/>
        <w:jc w:val="center"/>
        <w:rPr>
          <w:rFonts w:hint="eastAsia" w:ascii="方正小标宋简体" w:hAnsi="方正小标宋简体" w:eastAsia="方正小标宋简体" w:cs="方正小标宋简体"/>
          <w:b w:val="0"/>
          <w:bCs w:val="0"/>
          <w:color w:val="auto"/>
          <w:kern w:val="2"/>
          <w:sz w:val="44"/>
          <w:szCs w:val="44"/>
          <w:lang w:val="en-US" w:eastAsia="zh-CN" w:bidi="ar"/>
        </w:rPr>
      </w:pPr>
      <w:r>
        <w:rPr>
          <w:rFonts w:hint="eastAsia" w:ascii="方正小标宋简体" w:hAnsi="方正小标宋简体" w:eastAsia="方正小标宋简体" w:cs="方正小标宋简体"/>
          <w:b w:val="0"/>
          <w:bCs w:val="0"/>
          <w:color w:val="auto"/>
          <w:kern w:val="2"/>
          <w:sz w:val="44"/>
          <w:szCs w:val="44"/>
          <w:lang w:val="en-US" w:eastAsia="zh-CN" w:bidi="ar"/>
        </w:rPr>
        <w:t>黑龙江省失信惩戒措施补充清单（2024年版）（公开征求意见稿）</w:t>
      </w:r>
      <w:bookmarkStart w:id="0" w:name="_GoBack"/>
      <w:bookmarkEnd w:id="0"/>
    </w:p>
    <w:tbl>
      <w:tblPr>
        <w:tblStyle w:val="8"/>
        <w:tblpPr w:leftFromText="180" w:rightFromText="180" w:vertAnchor="text" w:horzAnchor="page" w:tblpXSpec="center" w:tblpY="295"/>
        <w:tblOverlap w:val="never"/>
        <w:tblW w:w="13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
      <w:tblGrid>
        <w:gridCol w:w="651"/>
        <w:gridCol w:w="928"/>
        <w:gridCol w:w="3932"/>
        <w:gridCol w:w="3747"/>
        <w:gridCol w:w="24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705" w:hRule="atLeast"/>
          <w:tblHeader/>
          <w:jc w:val="center"/>
        </w:trPr>
        <w:tc>
          <w:tcPr>
            <w:tcW w:w="6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color w:val="auto"/>
                <w:spacing w:val="-6"/>
                <w:kern w:val="0"/>
                <w:sz w:val="21"/>
                <w:szCs w:val="21"/>
                <w:u w:val="none"/>
                <w:lang w:val="en-US" w:eastAsia="zh-CN" w:bidi="ar"/>
              </w:rPr>
            </w:pPr>
            <w:r>
              <w:rPr>
                <w:rFonts w:hint="eastAsia" w:ascii="宋体" w:hAnsi="宋体" w:eastAsia="宋体" w:cs="宋体"/>
                <w:b/>
                <w:bCs/>
                <w:i w:val="0"/>
                <w:color w:val="auto"/>
                <w:spacing w:val="-6"/>
                <w:kern w:val="0"/>
                <w:sz w:val="21"/>
                <w:szCs w:val="21"/>
                <w:u w:val="none"/>
                <w:lang w:val="en-US" w:eastAsia="zh-CN" w:bidi="ar"/>
              </w:rPr>
              <w:t>序号</w:t>
            </w:r>
          </w:p>
        </w:tc>
        <w:tc>
          <w:tcPr>
            <w:tcW w:w="928"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color w:val="auto"/>
                <w:spacing w:val="-6"/>
                <w:kern w:val="0"/>
                <w:sz w:val="21"/>
                <w:szCs w:val="21"/>
                <w:u w:val="none"/>
                <w:lang w:val="en-US" w:eastAsia="zh-CN" w:bidi="ar"/>
              </w:rPr>
            </w:pPr>
            <w:r>
              <w:rPr>
                <w:rFonts w:hint="eastAsia" w:ascii="宋体" w:hAnsi="宋体" w:eastAsia="宋体" w:cs="宋体"/>
                <w:b/>
                <w:bCs/>
                <w:i w:val="0"/>
                <w:color w:val="auto"/>
                <w:spacing w:val="-6"/>
                <w:kern w:val="0"/>
                <w:sz w:val="21"/>
                <w:szCs w:val="21"/>
                <w:u w:val="none"/>
                <w:lang w:val="en-US" w:eastAsia="zh-CN" w:bidi="ar"/>
              </w:rPr>
              <w:t>惩戒措施</w:t>
            </w:r>
          </w:p>
        </w:tc>
        <w:tc>
          <w:tcPr>
            <w:tcW w:w="3932"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color w:val="auto"/>
                <w:spacing w:val="-6"/>
                <w:kern w:val="0"/>
                <w:sz w:val="21"/>
                <w:szCs w:val="21"/>
                <w:u w:val="none"/>
                <w:lang w:val="en-US" w:eastAsia="zh-CN" w:bidi="ar"/>
              </w:rPr>
            </w:pPr>
            <w:r>
              <w:rPr>
                <w:rFonts w:hint="eastAsia" w:ascii="宋体" w:hAnsi="宋体" w:eastAsia="宋体" w:cs="宋体"/>
                <w:b/>
                <w:bCs/>
                <w:i w:val="0"/>
                <w:color w:val="auto"/>
                <w:spacing w:val="-6"/>
                <w:kern w:val="0"/>
                <w:sz w:val="21"/>
                <w:szCs w:val="21"/>
                <w:u w:val="none"/>
                <w:lang w:val="en-US" w:eastAsia="zh-CN" w:bidi="ar"/>
              </w:rPr>
              <w:t>惩戒内容</w:t>
            </w:r>
          </w:p>
        </w:tc>
        <w:tc>
          <w:tcPr>
            <w:tcW w:w="3747"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color w:val="auto"/>
                <w:spacing w:val="-6"/>
                <w:kern w:val="0"/>
                <w:sz w:val="21"/>
                <w:szCs w:val="21"/>
                <w:u w:val="none"/>
                <w:lang w:val="en-US" w:eastAsia="zh-CN" w:bidi="ar"/>
              </w:rPr>
            </w:pPr>
            <w:r>
              <w:rPr>
                <w:rFonts w:hint="eastAsia" w:ascii="宋体" w:hAnsi="宋体" w:eastAsia="宋体" w:cs="宋体"/>
                <w:b/>
                <w:bCs/>
                <w:i w:val="0"/>
                <w:color w:val="auto"/>
                <w:spacing w:val="-6"/>
                <w:kern w:val="0"/>
                <w:sz w:val="21"/>
                <w:szCs w:val="21"/>
                <w:u w:val="none"/>
                <w:lang w:val="en-US" w:eastAsia="zh-CN" w:bidi="ar"/>
              </w:rPr>
              <w:t>惩戒对象</w:t>
            </w:r>
          </w:p>
        </w:tc>
        <w:tc>
          <w:tcPr>
            <w:tcW w:w="2411"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color w:val="auto"/>
                <w:spacing w:val="-6"/>
                <w:kern w:val="0"/>
                <w:sz w:val="21"/>
                <w:szCs w:val="21"/>
                <w:u w:val="none"/>
                <w:lang w:val="en-US" w:eastAsia="zh-CN" w:bidi="ar"/>
              </w:rPr>
            </w:pPr>
            <w:r>
              <w:rPr>
                <w:rFonts w:hint="eastAsia" w:ascii="宋体" w:hAnsi="宋体" w:eastAsia="宋体" w:cs="宋体"/>
                <w:b/>
                <w:bCs/>
                <w:i w:val="0"/>
                <w:color w:val="auto"/>
                <w:spacing w:val="-6"/>
                <w:kern w:val="0"/>
                <w:sz w:val="21"/>
                <w:szCs w:val="21"/>
                <w:u w:val="none"/>
                <w:lang w:val="en-US" w:eastAsia="zh-CN" w:bidi="ar"/>
              </w:rPr>
              <w:t>法规政策依据</w:t>
            </w:r>
          </w:p>
        </w:tc>
        <w:tc>
          <w:tcPr>
            <w:tcW w:w="1621"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color w:val="auto"/>
                <w:spacing w:val="-6"/>
                <w:kern w:val="0"/>
                <w:sz w:val="21"/>
                <w:szCs w:val="21"/>
                <w:u w:val="none"/>
                <w:lang w:val="en-US" w:eastAsia="zh-CN" w:bidi="ar"/>
              </w:rPr>
            </w:pPr>
            <w:r>
              <w:rPr>
                <w:rFonts w:hint="eastAsia" w:ascii="宋体" w:hAnsi="宋体" w:eastAsia="宋体" w:cs="宋体"/>
                <w:b/>
                <w:bCs/>
                <w:i w:val="0"/>
                <w:color w:val="auto"/>
                <w:spacing w:val="-6"/>
                <w:kern w:val="0"/>
                <w:sz w:val="21"/>
                <w:szCs w:val="21"/>
                <w:u w:val="none"/>
                <w:lang w:val="en-US" w:eastAsia="zh-CN" w:bidi="ar"/>
              </w:rPr>
              <w:t>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110" w:hRule="atLeast"/>
          <w:jc w:val="center"/>
        </w:trPr>
        <w:tc>
          <w:tcPr>
            <w:tcW w:w="651" w:type="dxa"/>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1</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928"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依法依规实施市场或行业禁入</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39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资格审批部门可依法降低其资质等级或吊销资格证书</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《黑龙江省建筑市场管理条例》第四十五条涉及的勘察、设计、施工和建筑工程中介服务单位</w:t>
            </w:r>
          </w:p>
        </w:tc>
        <w:tc>
          <w:tcPr>
            <w:tcW w:w="24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《黑龙江省建筑市场管理条例》第四十五条</w:t>
            </w:r>
          </w:p>
        </w:tc>
        <w:tc>
          <w:tcPr>
            <w:tcW w:w="16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建设行政主管</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231" w:hRule="atLeast"/>
          <w:jc w:val="center"/>
        </w:trPr>
        <w:tc>
          <w:tcPr>
            <w:tcW w:w="65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928"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39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依法撤销登记</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有《黑龙江省司法鉴定管理条例》四十二条之一且情节严重、第四十四条情节的司法鉴定机构</w:t>
            </w:r>
          </w:p>
        </w:tc>
        <w:tc>
          <w:tcPr>
            <w:tcW w:w="24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《黑龙江省省司法鉴定管理条例》四十二条、第四十四条</w:t>
            </w:r>
          </w:p>
        </w:tc>
        <w:tc>
          <w:tcPr>
            <w:tcW w:w="16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省司法行政</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344" w:hRule="atLeast"/>
          <w:jc w:val="center"/>
        </w:trPr>
        <w:tc>
          <w:tcPr>
            <w:tcW w:w="65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928"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39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依法责令停业整顿、降低资质等级或者吊销资质证书</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有《黑龙江省建设工程监理管理条例》第二十条、第二十一条、第二十二条情形之一且情节严重的监理单位</w:t>
            </w:r>
          </w:p>
        </w:tc>
        <w:tc>
          <w:tcPr>
            <w:tcW w:w="24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《黑龙江省建设工程监理管理条例》第二十条、第二十一条、第二十二条</w:t>
            </w:r>
          </w:p>
        </w:tc>
        <w:tc>
          <w:tcPr>
            <w:tcW w:w="16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县级以上建设行政主管部门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47" w:hRule="atLeast"/>
          <w:jc w:val="center"/>
        </w:trPr>
        <w:tc>
          <w:tcPr>
            <w:tcW w:w="65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928"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39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依法吊销其资格证书</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有《黑龙江省建设工程勘察设计条例》第三十八条情形且情节严重的工程勘察设计单位</w:t>
            </w:r>
          </w:p>
        </w:tc>
        <w:tc>
          <w:tcPr>
            <w:tcW w:w="24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《黑龙江省建设工程勘察设计条例》第三十八条</w:t>
            </w:r>
          </w:p>
        </w:tc>
        <w:tc>
          <w:tcPr>
            <w:tcW w:w="16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县以上建设行政主管部门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292" w:hRule="atLeast"/>
          <w:jc w:val="center"/>
        </w:trPr>
        <w:tc>
          <w:tcPr>
            <w:tcW w:w="65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928"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39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依法责令停业整顿、降低资质或吊销资质证书</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有《黑龙江省建设工程质量监督管理条例》第三十七条、第三十八条、第三十九条情形之一且情节严重的勘察设计承包商、施工承包商、建设监理机构</w:t>
            </w:r>
          </w:p>
        </w:tc>
        <w:tc>
          <w:tcPr>
            <w:tcW w:w="24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《黑龙江省建设工程质量监督管理条例》第三十七条、第三十八条、第三十九条</w:t>
            </w:r>
          </w:p>
        </w:tc>
        <w:tc>
          <w:tcPr>
            <w:tcW w:w="16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工程质量监督机构、资质证书颁发机关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33" w:hRule="atLeast"/>
          <w:jc w:val="center"/>
        </w:trPr>
        <w:tc>
          <w:tcPr>
            <w:tcW w:w="65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928"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39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可根据其情节轻重，依法责令其暂停执业，直至吊销执业资格证书</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有《黑龙江省建筑市场管理条例》第四十五条情形之一的勘察、设计、施工和建筑工程中介服务单位</w:t>
            </w:r>
          </w:p>
        </w:tc>
        <w:tc>
          <w:tcPr>
            <w:tcW w:w="24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《黑龙江省建筑市场管理条例》第四十五条</w:t>
            </w:r>
          </w:p>
        </w:tc>
        <w:tc>
          <w:tcPr>
            <w:tcW w:w="16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建设行政主管</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900" w:hRule="atLeast"/>
          <w:jc w:val="center"/>
        </w:trPr>
        <w:tc>
          <w:tcPr>
            <w:tcW w:w="65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928"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39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吊销道路运输经营许可证</w:t>
            </w:r>
          </w:p>
        </w:tc>
        <w:tc>
          <w:tcPr>
            <w:tcW w:w="3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有《黑龙江省道路运输管理条例》第八十四条第二款、第四款情形的道路运输经营者</w:t>
            </w:r>
          </w:p>
        </w:tc>
        <w:tc>
          <w:tcPr>
            <w:tcW w:w="24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《黑龙江省道路运输管理条例》第八十四条</w:t>
            </w:r>
          </w:p>
        </w:tc>
        <w:tc>
          <w:tcPr>
            <w:tcW w:w="16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县级以上道路运输管理机构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954" w:hRule="atLeast"/>
          <w:jc w:val="center"/>
        </w:trPr>
        <w:tc>
          <w:tcPr>
            <w:tcW w:w="65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928"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39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依法责令停产停业整顿</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shd w:val="clear" w:color="auto" w:fill="auto"/>
                <w:lang w:val="en-US" w:eastAsia="zh-CN" w:bidi="ar"/>
              </w:rPr>
              <w:t>有《黑龙江省安全生产条例》第八十九条、九十一条规定的违法行为之一，被责令限期改正，但逾期未改正的。</w:t>
            </w:r>
          </w:p>
        </w:tc>
        <w:tc>
          <w:tcPr>
            <w:tcW w:w="24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shd w:val="clear" w:color="auto" w:fill="auto"/>
                <w:lang w:val="en-US" w:eastAsia="zh-CN" w:bidi="ar"/>
              </w:rPr>
              <w:t>《黑龙江省安全生产条例》第八十九条、九十一条</w:t>
            </w:r>
          </w:p>
        </w:tc>
        <w:tc>
          <w:tcPr>
            <w:tcW w:w="16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各负有安全生产监督管理职责的部门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806" w:hRule="atLeast"/>
          <w:jc w:val="center"/>
        </w:trPr>
        <w:tc>
          <w:tcPr>
            <w:tcW w:w="65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928"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39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依法禁止担任供热单位法定代表人或者股东</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5年内有弃管记录的供热单位的法定代表人或者股东</w:t>
            </w:r>
          </w:p>
        </w:tc>
        <w:tc>
          <w:tcPr>
            <w:tcW w:w="24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《黑龙江省城市供热条例》第二十条第二款</w:t>
            </w:r>
          </w:p>
        </w:tc>
        <w:tc>
          <w:tcPr>
            <w:tcW w:w="16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市、县供热主管部门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858" w:hRule="atLeast"/>
          <w:jc w:val="center"/>
        </w:trPr>
        <w:tc>
          <w:tcPr>
            <w:tcW w:w="651" w:type="dxa"/>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2</w:t>
            </w:r>
          </w:p>
        </w:tc>
        <w:tc>
          <w:tcPr>
            <w:tcW w:w="928" w:type="dxa"/>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依法依规实施职业禁入或从业限制</w:t>
            </w:r>
          </w:p>
        </w:tc>
        <w:tc>
          <w:tcPr>
            <w:tcW w:w="39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依法撤销登记</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有《黑龙江省司法鉴定管理条例》第四十三条之一且情节严重，第四十四条情形的司法鉴定人</w:t>
            </w:r>
          </w:p>
        </w:tc>
        <w:tc>
          <w:tcPr>
            <w:tcW w:w="24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《黑龙江省司法鉴定管理条例》第四十三条、第四十四条</w:t>
            </w:r>
          </w:p>
        </w:tc>
        <w:tc>
          <w:tcPr>
            <w:tcW w:w="16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省司法行政</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779" w:hRule="atLeast"/>
          <w:jc w:val="center"/>
        </w:trPr>
        <w:tc>
          <w:tcPr>
            <w:tcW w:w="65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3</w:t>
            </w:r>
          </w:p>
        </w:tc>
        <w:tc>
          <w:tcPr>
            <w:tcW w:w="928" w:type="dxa"/>
            <w:vMerge w:val="restart"/>
            <w:tcBorders>
              <w:top w:val="single" w:color="auto" w:sz="4" w:space="0"/>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依法依规限制申请财政性资金项目</w:t>
            </w:r>
          </w:p>
        </w:tc>
        <w:tc>
          <w:tcPr>
            <w:tcW w:w="39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违法行为被记入学术诚信档案之日起五年内不得申报科学技术项目和科学技术奖励</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有《黑龙江省科学技术进步条例》第六十条中规定的抄袭、剽窃他人科学技术成果，或者在科学技术活动中弄虚作假的科学技术人员</w:t>
            </w:r>
          </w:p>
        </w:tc>
        <w:tc>
          <w:tcPr>
            <w:tcW w:w="24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《黑龙江省科学技术进步条例》第六十条</w:t>
            </w:r>
          </w:p>
        </w:tc>
        <w:tc>
          <w:tcPr>
            <w:tcW w:w="16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所在单位或者单位主管机关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537" w:hRule="atLeast"/>
          <w:jc w:val="center"/>
        </w:trPr>
        <w:tc>
          <w:tcPr>
            <w:tcW w:w="65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928"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39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由主管部门追回已资助的财政性资金，并记入科研诚信档案；科技服务机构及其从业人员故意提供虚假信息和证明的，由政府有关部门依照管理职责责令改正，没收违法所得</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有《黑龙江省促进科技成果转化条例》第三十九条、第四十条、第四十一条情形的相关主体</w:t>
            </w:r>
          </w:p>
        </w:tc>
        <w:tc>
          <w:tcPr>
            <w:tcW w:w="24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《黑龙江省促进科技成果转化条例》第三十九条、第四十条、第四十一条</w:t>
            </w:r>
          </w:p>
        </w:tc>
        <w:tc>
          <w:tcPr>
            <w:tcW w:w="16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依照管理职责的政府有关部门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688"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4</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依法依规共享公示失信信息</w:t>
            </w:r>
          </w:p>
        </w:tc>
        <w:tc>
          <w:tcPr>
            <w:tcW w:w="39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将违法情况纳入诚信档案，并依法采取重点监管、信用预警、失信曝光等惩戒措施。</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有《黑龙江省优化营商环境条例》第五十九条情形的相关主体</w:t>
            </w:r>
          </w:p>
        </w:tc>
        <w:tc>
          <w:tcPr>
            <w:tcW w:w="24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《黑龙江省优化营商环境条例》第五十九条</w:t>
            </w:r>
          </w:p>
        </w:tc>
        <w:tc>
          <w:tcPr>
            <w:tcW w:w="16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县级以上人民政府组成部门、工作部门、派出机构和中央国家机关驻本省机构、单位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100" w:hRule="atLeast"/>
          <w:jc w:val="center"/>
        </w:trPr>
        <w:tc>
          <w:tcPr>
            <w:tcW w:w="651" w:type="dxa"/>
            <w:vMerge w:val="restart"/>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5</w:t>
            </w:r>
          </w:p>
        </w:tc>
        <w:tc>
          <w:tcPr>
            <w:tcW w:w="928" w:type="dxa"/>
            <w:vMerge w:val="restart"/>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纳入重点监管范围</w:t>
            </w:r>
          </w:p>
        </w:tc>
        <w:tc>
          <w:tcPr>
            <w:tcW w:w="39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对安全隐患大、有失信行为和严重违法记录的，增加监督、监测频次。</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 w:eastAsia="zh-CN" w:bidi="ar"/>
              </w:rPr>
              <w:t>违反</w:t>
            </w:r>
            <w:r>
              <w:rPr>
                <w:rFonts w:hint="eastAsia" w:ascii="宋体" w:hAnsi="宋体" w:eastAsia="宋体" w:cs="宋体"/>
                <w:i w:val="0"/>
                <w:color w:val="auto"/>
                <w:spacing w:val="-6"/>
                <w:kern w:val="0"/>
                <w:sz w:val="21"/>
                <w:szCs w:val="21"/>
                <w:u w:val="none"/>
                <w:lang w:val="en-US" w:eastAsia="zh-CN" w:bidi="ar"/>
              </w:rPr>
              <w:t>《黑龙江省生活饮用水卫生监督管理条例》</w:t>
            </w:r>
            <w:r>
              <w:rPr>
                <w:rFonts w:hint="eastAsia" w:ascii="宋体" w:hAnsi="宋体" w:eastAsia="宋体" w:cs="宋体"/>
                <w:i w:val="0"/>
                <w:color w:val="auto"/>
                <w:spacing w:val="-6"/>
                <w:kern w:val="0"/>
                <w:sz w:val="21"/>
                <w:szCs w:val="21"/>
                <w:u w:val="none"/>
                <w:lang w:val="en" w:eastAsia="zh-CN" w:bidi="ar"/>
              </w:rPr>
              <w:t>第</w:t>
            </w:r>
            <w:r>
              <w:rPr>
                <w:rFonts w:hint="eastAsia" w:ascii="宋体" w:hAnsi="宋体" w:eastAsia="宋体" w:cs="宋体"/>
                <w:i w:val="0"/>
                <w:color w:val="auto"/>
                <w:spacing w:val="-6"/>
                <w:kern w:val="0"/>
                <w:sz w:val="21"/>
                <w:szCs w:val="21"/>
                <w:u w:val="none"/>
                <w:lang w:val="en-US" w:eastAsia="zh-CN" w:bidi="ar"/>
              </w:rPr>
              <w:t>三十七条</w:t>
            </w:r>
            <w:r>
              <w:rPr>
                <w:rFonts w:hint="eastAsia" w:ascii="宋体" w:hAnsi="宋体" w:eastAsia="宋体" w:cs="宋体"/>
                <w:i w:val="0"/>
                <w:color w:val="auto"/>
                <w:spacing w:val="-6"/>
                <w:kern w:val="0"/>
                <w:sz w:val="21"/>
                <w:szCs w:val="21"/>
                <w:u w:val="none"/>
                <w:lang w:val="en" w:eastAsia="zh-CN" w:bidi="ar"/>
              </w:rPr>
              <w:t>有关规定的</w:t>
            </w:r>
            <w:r>
              <w:rPr>
                <w:rFonts w:hint="eastAsia" w:ascii="宋体" w:hAnsi="宋体" w:eastAsia="宋体" w:cs="宋体"/>
                <w:i w:val="0"/>
                <w:color w:val="auto"/>
                <w:spacing w:val="-6"/>
                <w:kern w:val="0"/>
                <w:sz w:val="21"/>
                <w:szCs w:val="21"/>
                <w:u w:val="none"/>
                <w:lang w:val="en-US" w:eastAsia="zh-CN" w:bidi="ar"/>
              </w:rPr>
              <w:t>供水单位和涉水产品生产、经营单位</w:t>
            </w:r>
          </w:p>
        </w:tc>
        <w:tc>
          <w:tcPr>
            <w:tcW w:w="24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 w:eastAsia="zh-CN" w:bidi="ar"/>
              </w:rPr>
              <w:t>《</w:t>
            </w:r>
            <w:r>
              <w:rPr>
                <w:rFonts w:hint="eastAsia" w:ascii="宋体" w:hAnsi="宋体" w:eastAsia="宋体" w:cs="宋体"/>
                <w:i w:val="0"/>
                <w:color w:val="auto"/>
                <w:spacing w:val="-6"/>
                <w:kern w:val="0"/>
                <w:sz w:val="21"/>
                <w:szCs w:val="21"/>
                <w:u w:val="none"/>
                <w:lang w:val="en-US" w:eastAsia="zh-CN" w:bidi="ar"/>
              </w:rPr>
              <w:t>黑龙江省生活饮用水卫生监督管理条例</w:t>
            </w:r>
            <w:r>
              <w:rPr>
                <w:rFonts w:hint="eastAsia" w:ascii="宋体" w:hAnsi="宋体" w:eastAsia="宋体" w:cs="宋体"/>
                <w:i w:val="0"/>
                <w:color w:val="auto"/>
                <w:spacing w:val="-6"/>
                <w:kern w:val="0"/>
                <w:sz w:val="21"/>
                <w:szCs w:val="21"/>
                <w:u w:val="none"/>
                <w:lang w:val="en" w:eastAsia="zh-CN" w:bidi="ar"/>
              </w:rPr>
              <w:t>》第</w:t>
            </w:r>
            <w:r>
              <w:rPr>
                <w:rFonts w:hint="eastAsia" w:ascii="宋体" w:hAnsi="宋体" w:eastAsia="宋体" w:cs="宋体"/>
                <w:i w:val="0"/>
                <w:color w:val="auto"/>
                <w:spacing w:val="-6"/>
                <w:kern w:val="0"/>
                <w:sz w:val="21"/>
                <w:szCs w:val="21"/>
                <w:u w:val="none"/>
                <w:lang w:val="en-US" w:eastAsia="zh-CN" w:bidi="ar"/>
              </w:rPr>
              <w:t>三十七条</w:t>
            </w:r>
          </w:p>
        </w:tc>
        <w:tc>
          <w:tcPr>
            <w:tcW w:w="16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市、县级卫生健康行政主管部门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845" w:hRule="atLeast"/>
          <w:jc w:val="center"/>
        </w:trPr>
        <w:tc>
          <w:tcPr>
            <w:tcW w:w="65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928"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39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约谈其主要负责人，并责令限期纠正；未按期纠正的，依法追究责任，并责令其在新闻媒体公开承诺纠正期限和纠正措施。</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 w:eastAsia="zh-CN" w:bidi="ar"/>
              </w:rPr>
            </w:pPr>
            <w:r>
              <w:rPr>
                <w:rFonts w:hint="eastAsia" w:ascii="宋体" w:hAnsi="宋体" w:eastAsia="宋体" w:cs="宋体"/>
                <w:i w:val="0"/>
                <w:color w:val="auto"/>
                <w:spacing w:val="-6"/>
                <w:kern w:val="0"/>
                <w:sz w:val="21"/>
                <w:szCs w:val="21"/>
                <w:u w:val="none"/>
                <w:lang w:val="en" w:eastAsia="zh-CN" w:bidi="ar"/>
              </w:rPr>
              <w:t>被列入严重失信主体名单且不依法及时纠正失信行为的国有企业单位</w:t>
            </w:r>
          </w:p>
        </w:tc>
        <w:tc>
          <w:tcPr>
            <w:tcW w:w="24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 w:eastAsia="zh-CN" w:bidi="ar"/>
              </w:rPr>
            </w:pPr>
            <w:r>
              <w:rPr>
                <w:rFonts w:hint="eastAsia" w:ascii="宋体" w:hAnsi="宋体" w:eastAsia="宋体" w:cs="宋体"/>
                <w:i w:val="0"/>
                <w:color w:val="auto"/>
                <w:spacing w:val="-6"/>
                <w:kern w:val="0"/>
                <w:sz w:val="21"/>
                <w:szCs w:val="21"/>
                <w:u w:val="none"/>
                <w:lang w:val="en" w:eastAsia="zh-CN" w:bidi="ar"/>
              </w:rPr>
              <w:t>《黑龙江省社会信用条例》第三十二条</w:t>
            </w:r>
          </w:p>
        </w:tc>
        <w:tc>
          <w:tcPr>
            <w:tcW w:w="16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县级以上人民政府社会信用主管部门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907" w:hRule="atLeast"/>
          <w:jc w:val="center"/>
        </w:trPr>
        <w:tc>
          <w:tcPr>
            <w:tcW w:w="65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928"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39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通报其上一级人民政府或者主管部门以及审计机关。</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 w:eastAsia="zh-CN" w:bidi="ar"/>
              </w:rPr>
            </w:pPr>
            <w:r>
              <w:rPr>
                <w:rFonts w:hint="eastAsia" w:ascii="宋体" w:hAnsi="宋体" w:eastAsia="宋体" w:cs="宋体"/>
                <w:i w:val="0"/>
                <w:color w:val="auto"/>
                <w:spacing w:val="-6"/>
                <w:kern w:val="0"/>
                <w:sz w:val="21"/>
                <w:szCs w:val="21"/>
                <w:u w:val="none"/>
                <w:lang w:val="en-US" w:eastAsia="zh-CN" w:bidi="ar"/>
              </w:rPr>
              <w:t>被列入严重失信主体名单的国有企业单位</w:t>
            </w:r>
          </w:p>
        </w:tc>
        <w:tc>
          <w:tcPr>
            <w:tcW w:w="24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 w:eastAsia="zh-CN" w:bidi="ar"/>
              </w:rPr>
            </w:pPr>
            <w:r>
              <w:rPr>
                <w:rFonts w:hint="eastAsia" w:ascii="宋体" w:hAnsi="宋体" w:eastAsia="宋体" w:cs="宋体"/>
                <w:i w:val="0"/>
                <w:color w:val="auto"/>
                <w:spacing w:val="-6"/>
                <w:kern w:val="0"/>
                <w:sz w:val="21"/>
                <w:szCs w:val="21"/>
                <w:u w:val="none"/>
                <w:lang w:val="en" w:eastAsia="zh-CN" w:bidi="ar"/>
              </w:rPr>
              <w:t>《黑龙江省社会信用条例》第三十二条</w:t>
            </w:r>
          </w:p>
        </w:tc>
        <w:tc>
          <w:tcPr>
            <w:tcW w:w="16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 w:eastAsia="zh-CN" w:bidi="ar"/>
              </w:rPr>
              <w:t>县级以上行业行政主管部门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845" w:hRule="atLeast"/>
          <w:jc w:val="center"/>
        </w:trPr>
        <w:tc>
          <w:tcPr>
            <w:tcW w:w="65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928"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p>
        </w:tc>
        <w:tc>
          <w:tcPr>
            <w:tcW w:w="3932" w:type="dxa"/>
            <w:tcBorders>
              <w:top w:val="single" w:color="auto" w:sz="4" w:space="0"/>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US" w:eastAsia="zh-CN" w:bidi="ar"/>
              </w:rPr>
              <w:t>依法对其法定代表人或者主要负责人、实际控制人、影响债务履行的直接责任人实施惩戒措施，并将相应失信行为记入自然人公共信用信息。</w:t>
            </w:r>
          </w:p>
        </w:tc>
        <w:tc>
          <w:tcPr>
            <w:tcW w:w="3747" w:type="dxa"/>
            <w:tcBorders>
              <w:top w:val="single" w:color="auto" w:sz="4" w:space="0"/>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 w:eastAsia="zh-CN" w:bidi="ar"/>
              </w:rPr>
            </w:pPr>
            <w:r>
              <w:rPr>
                <w:rFonts w:hint="eastAsia" w:ascii="宋体" w:hAnsi="宋体" w:eastAsia="宋体" w:cs="宋体"/>
                <w:i w:val="0"/>
                <w:color w:val="auto"/>
                <w:spacing w:val="-6"/>
                <w:kern w:val="0"/>
                <w:sz w:val="21"/>
                <w:szCs w:val="21"/>
                <w:u w:val="none"/>
                <w:lang w:val="en-US" w:eastAsia="zh-CN" w:bidi="ar"/>
              </w:rPr>
              <w:t>被列入严重失信主体名单的市场主体</w:t>
            </w:r>
          </w:p>
        </w:tc>
        <w:tc>
          <w:tcPr>
            <w:tcW w:w="2411" w:type="dxa"/>
            <w:tcBorders>
              <w:top w:val="single" w:color="auto" w:sz="4" w:space="0"/>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 w:eastAsia="zh-CN" w:bidi="ar"/>
              </w:rPr>
            </w:pPr>
            <w:r>
              <w:rPr>
                <w:rFonts w:hint="eastAsia" w:ascii="宋体" w:hAnsi="宋体" w:eastAsia="宋体" w:cs="宋体"/>
                <w:i w:val="0"/>
                <w:color w:val="auto"/>
                <w:spacing w:val="-6"/>
                <w:kern w:val="0"/>
                <w:sz w:val="21"/>
                <w:szCs w:val="21"/>
                <w:u w:val="none"/>
                <w:lang w:val="en" w:eastAsia="zh-CN" w:bidi="ar"/>
              </w:rPr>
              <w:t>《黑龙江省社会信用条例》第三十三条</w:t>
            </w:r>
          </w:p>
        </w:tc>
        <w:tc>
          <w:tcPr>
            <w:tcW w:w="16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auto"/>
                <w:spacing w:val="-6"/>
                <w:kern w:val="0"/>
                <w:sz w:val="21"/>
                <w:szCs w:val="21"/>
                <w:u w:val="none"/>
                <w:lang w:val="en-US" w:eastAsia="zh-CN" w:bidi="ar"/>
              </w:rPr>
            </w:pPr>
            <w:r>
              <w:rPr>
                <w:rFonts w:hint="eastAsia" w:ascii="宋体" w:hAnsi="宋体" w:eastAsia="宋体" w:cs="宋体"/>
                <w:i w:val="0"/>
                <w:color w:val="auto"/>
                <w:spacing w:val="-6"/>
                <w:kern w:val="0"/>
                <w:sz w:val="21"/>
                <w:szCs w:val="21"/>
                <w:u w:val="none"/>
                <w:lang w:val="en" w:eastAsia="zh-CN" w:bidi="ar"/>
              </w:rPr>
              <w:t>县级以上行业行政主管部门</w:t>
            </w:r>
          </w:p>
        </w:tc>
      </w:tr>
    </w:tbl>
    <w:p>
      <w:pPr>
        <w:rPr>
          <w:rFonts w:hint="eastAsia" w:ascii="宋体" w:hAnsi="宋体" w:eastAsia="宋体" w:cs="宋体"/>
          <w:color w:val="auto"/>
        </w:rPr>
      </w:pPr>
    </w:p>
    <w:p>
      <w:pPr>
        <w:pStyle w:val="2"/>
        <w:rPr>
          <w:rFonts w:hint="eastAsia"/>
          <w:color w:val="auto"/>
        </w:rPr>
      </w:pPr>
    </w:p>
    <w:p>
      <w:pPr>
        <w:pStyle w:val="4"/>
        <w:rPr>
          <w:rFonts w:hint="eastAsia" w:ascii="仿宋" w:hAnsi="仿宋" w:eastAsia="仿宋" w:cs="仿宋"/>
          <w:i w:val="0"/>
          <w:caps w:val="0"/>
          <w:color w:val="auto"/>
          <w:spacing w:val="0"/>
          <w:sz w:val="32"/>
          <w:szCs w:val="32"/>
          <w:u w:val="none" w:color="auto"/>
          <w:shd w:val="clear" w:fill="FFFFFF"/>
          <w:lang w:val="en-US" w:eastAsia="zh-CN"/>
        </w:rPr>
      </w:pPr>
    </w:p>
    <w:sectPr>
      <w:pgSz w:w="16838" w:h="11906" w:orient="landscape"/>
      <w:pgMar w:top="1803" w:right="1440" w:bottom="1463" w:left="1440"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新宋体">
    <w:altName w:val="方正书宋_GBK"/>
    <w:panose1 w:val="02010609030101010101"/>
    <w:charset w:val="86"/>
    <w:family w:val="auto"/>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21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E5577"/>
    <w:rsid w:val="0334395C"/>
    <w:rsid w:val="03820644"/>
    <w:rsid w:val="03CC19ED"/>
    <w:rsid w:val="04753A5A"/>
    <w:rsid w:val="04AD2B8D"/>
    <w:rsid w:val="05EF5A73"/>
    <w:rsid w:val="06185102"/>
    <w:rsid w:val="06E9526A"/>
    <w:rsid w:val="07A86C9C"/>
    <w:rsid w:val="07BC2526"/>
    <w:rsid w:val="08250590"/>
    <w:rsid w:val="08F41814"/>
    <w:rsid w:val="0936491E"/>
    <w:rsid w:val="0A0925D4"/>
    <w:rsid w:val="0ACF7526"/>
    <w:rsid w:val="0B2016F6"/>
    <w:rsid w:val="0B323903"/>
    <w:rsid w:val="0B792555"/>
    <w:rsid w:val="0D61515E"/>
    <w:rsid w:val="0ED806E3"/>
    <w:rsid w:val="0FA94437"/>
    <w:rsid w:val="0FAC6FD2"/>
    <w:rsid w:val="10BA7822"/>
    <w:rsid w:val="11FF602E"/>
    <w:rsid w:val="134A3384"/>
    <w:rsid w:val="13E0023B"/>
    <w:rsid w:val="16BE7A78"/>
    <w:rsid w:val="17B11699"/>
    <w:rsid w:val="18781F7B"/>
    <w:rsid w:val="19033730"/>
    <w:rsid w:val="196322B2"/>
    <w:rsid w:val="19865470"/>
    <w:rsid w:val="1A2E3132"/>
    <w:rsid w:val="1A3D679D"/>
    <w:rsid w:val="1A9A0507"/>
    <w:rsid w:val="1AE00A17"/>
    <w:rsid w:val="1B8E5B8D"/>
    <w:rsid w:val="1BCC60F2"/>
    <w:rsid w:val="1BEA3D4D"/>
    <w:rsid w:val="1C6F3CC5"/>
    <w:rsid w:val="1DB53A5C"/>
    <w:rsid w:val="1F6459BA"/>
    <w:rsid w:val="1F665BA3"/>
    <w:rsid w:val="1F8D15F9"/>
    <w:rsid w:val="208F3F2E"/>
    <w:rsid w:val="210660D2"/>
    <w:rsid w:val="212934D3"/>
    <w:rsid w:val="2144225B"/>
    <w:rsid w:val="224F2B6D"/>
    <w:rsid w:val="2364282F"/>
    <w:rsid w:val="24260689"/>
    <w:rsid w:val="243930CF"/>
    <w:rsid w:val="24A7093D"/>
    <w:rsid w:val="24F139BC"/>
    <w:rsid w:val="24FA70C8"/>
    <w:rsid w:val="263A68EC"/>
    <w:rsid w:val="26783234"/>
    <w:rsid w:val="27F5564F"/>
    <w:rsid w:val="2874567C"/>
    <w:rsid w:val="2A055CE5"/>
    <w:rsid w:val="2A785259"/>
    <w:rsid w:val="2D6610F7"/>
    <w:rsid w:val="2DA256B0"/>
    <w:rsid w:val="2DC03B19"/>
    <w:rsid w:val="2E182174"/>
    <w:rsid w:val="2E4D0772"/>
    <w:rsid w:val="2FB4554F"/>
    <w:rsid w:val="31757301"/>
    <w:rsid w:val="32DD33B2"/>
    <w:rsid w:val="33523657"/>
    <w:rsid w:val="338D1775"/>
    <w:rsid w:val="34703E57"/>
    <w:rsid w:val="35286585"/>
    <w:rsid w:val="35912B60"/>
    <w:rsid w:val="36A506F2"/>
    <w:rsid w:val="36CB6BAE"/>
    <w:rsid w:val="37CB582F"/>
    <w:rsid w:val="38AC76E0"/>
    <w:rsid w:val="38AD1A31"/>
    <w:rsid w:val="397436A1"/>
    <w:rsid w:val="3B6C0757"/>
    <w:rsid w:val="3C672422"/>
    <w:rsid w:val="3C861BA2"/>
    <w:rsid w:val="3CF60B38"/>
    <w:rsid w:val="3CF6132B"/>
    <w:rsid w:val="3D45463D"/>
    <w:rsid w:val="3D89485E"/>
    <w:rsid w:val="3DA012FE"/>
    <w:rsid w:val="3DDE0C3C"/>
    <w:rsid w:val="3DE80DC1"/>
    <w:rsid w:val="3E446ABE"/>
    <w:rsid w:val="3FCC7198"/>
    <w:rsid w:val="41854862"/>
    <w:rsid w:val="419276C4"/>
    <w:rsid w:val="43AF2C71"/>
    <w:rsid w:val="43B73D9A"/>
    <w:rsid w:val="444C2FE4"/>
    <w:rsid w:val="44A75767"/>
    <w:rsid w:val="45387B24"/>
    <w:rsid w:val="45D07657"/>
    <w:rsid w:val="466E30C6"/>
    <w:rsid w:val="46CA7E72"/>
    <w:rsid w:val="470B32D7"/>
    <w:rsid w:val="480E19EF"/>
    <w:rsid w:val="49A27FC0"/>
    <w:rsid w:val="4A354938"/>
    <w:rsid w:val="4A382B92"/>
    <w:rsid w:val="4A602648"/>
    <w:rsid w:val="4AB9533A"/>
    <w:rsid w:val="4AF472F3"/>
    <w:rsid w:val="4CBA1EC6"/>
    <w:rsid w:val="4D9D2446"/>
    <w:rsid w:val="4FB50043"/>
    <w:rsid w:val="4FD16A45"/>
    <w:rsid w:val="522A1838"/>
    <w:rsid w:val="52D74F08"/>
    <w:rsid w:val="52E565C5"/>
    <w:rsid w:val="54FA6881"/>
    <w:rsid w:val="553D1581"/>
    <w:rsid w:val="55F94735"/>
    <w:rsid w:val="56682230"/>
    <w:rsid w:val="57170D24"/>
    <w:rsid w:val="572B4DB0"/>
    <w:rsid w:val="58694901"/>
    <w:rsid w:val="5AF8015B"/>
    <w:rsid w:val="5BD43DE5"/>
    <w:rsid w:val="5BFA0C58"/>
    <w:rsid w:val="5E3151D6"/>
    <w:rsid w:val="5EDB2138"/>
    <w:rsid w:val="5F992041"/>
    <w:rsid w:val="5FBB38D6"/>
    <w:rsid w:val="62356B1A"/>
    <w:rsid w:val="627538B0"/>
    <w:rsid w:val="62A67CCB"/>
    <w:rsid w:val="62D740FC"/>
    <w:rsid w:val="638D4924"/>
    <w:rsid w:val="63BE5482"/>
    <w:rsid w:val="642806B8"/>
    <w:rsid w:val="65187E32"/>
    <w:rsid w:val="654F6EB4"/>
    <w:rsid w:val="656B3E5B"/>
    <w:rsid w:val="65D90AF4"/>
    <w:rsid w:val="6738384F"/>
    <w:rsid w:val="675F568D"/>
    <w:rsid w:val="68101A58"/>
    <w:rsid w:val="6A0C0A34"/>
    <w:rsid w:val="6A6623E3"/>
    <w:rsid w:val="6A6F3F10"/>
    <w:rsid w:val="6B4569D7"/>
    <w:rsid w:val="6B4F06EA"/>
    <w:rsid w:val="6B8A6AE9"/>
    <w:rsid w:val="6BF77CC4"/>
    <w:rsid w:val="6C051B31"/>
    <w:rsid w:val="6CBD50C7"/>
    <w:rsid w:val="6CE0265C"/>
    <w:rsid w:val="6E0403E6"/>
    <w:rsid w:val="6E723553"/>
    <w:rsid w:val="6EE56E1C"/>
    <w:rsid w:val="6FF74895"/>
    <w:rsid w:val="700F0645"/>
    <w:rsid w:val="716422A1"/>
    <w:rsid w:val="719E6D88"/>
    <w:rsid w:val="73815894"/>
    <w:rsid w:val="759024A2"/>
    <w:rsid w:val="75B376F6"/>
    <w:rsid w:val="76B8137B"/>
    <w:rsid w:val="76CD1CA1"/>
    <w:rsid w:val="7A4E0740"/>
    <w:rsid w:val="7ACD7F5B"/>
    <w:rsid w:val="7BB7318A"/>
    <w:rsid w:val="7BFC7D21"/>
    <w:rsid w:val="7D35770E"/>
    <w:rsid w:val="7EC85108"/>
    <w:rsid w:val="7F0B0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Ascii" w:hAnsiTheme="minorAscii" w:cstheme="minorBidi"/>
      <w:kern w:val="2"/>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4"/>
    </w:rPr>
  </w:style>
  <w:style w:type="paragraph" w:styleId="3">
    <w:name w:val="table of authorities"/>
    <w:basedOn w:val="1"/>
    <w:next w:val="1"/>
    <w:qFormat/>
    <w:uiPriority w:val="0"/>
    <w:pPr>
      <w:ind w:left="420" w:leftChars="200"/>
    </w:pPr>
  </w:style>
  <w:style w:type="paragraph" w:styleId="4">
    <w:name w:val="Body Text"/>
    <w:basedOn w:val="1"/>
    <w:next w:val="5"/>
    <w:qFormat/>
    <w:uiPriority w:val="0"/>
    <w:pPr>
      <w:spacing w:after="120" w:afterLines="0" w:afterAutospacing="0"/>
    </w:p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Lenovo</dc:creator>
  <cp:lastModifiedBy>greatwall</cp:lastModifiedBy>
  <cp:lastPrinted>2022-04-17T12:42:00Z</cp:lastPrinted>
  <dcterms:modified xsi:type="dcterms:W3CDTF">2024-04-25T17:39:32Z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