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2</w:t>
      </w:r>
      <w:r>
        <w:rPr>
          <w:rFonts w:hint="eastAsia" w:ascii="黑体" w:hAnsi="黑体" w:eastAsia="黑体" w:cs="黑体"/>
          <w:b w:val="0"/>
          <w:bCs w:val="0"/>
          <w:sz w:val="32"/>
          <w:szCs w:val="32"/>
          <w:lang w:eastAsia="zh-CN"/>
        </w:rPr>
        <w:t>：</w:t>
      </w:r>
    </w:p>
    <w:p>
      <w:pPr>
        <w:jc w:val="center"/>
        <w:rPr>
          <w:rFonts w:hint="eastAsia"/>
          <w:b/>
          <w:bCs/>
          <w:sz w:val="44"/>
          <w:szCs w:val="44"/>
          <w:lang w:eastAsia="zh-CN"/>
        </w:rPr>
      </w:pPr>
      <w:r>
        <w:rPr>
          <w:rFonts w:hint="eastAsia"/>
          <w:b/>
          <w:bCs/>
          <w:sz w:val="44"/>
          <w:szCs w:val="44"/>
          <w:lang w:eastAsia="zh-CN"/>
        </w:rPr>
        <w:t>黑龙江省市场</w:t>
      </w:r>
      <w:r>
        <w:rPr>
          <w:rFonts w:hint="eastAsia"/>
          <w:b/>
          <w:bCs/>
          <w:sz w:val="44"/>
          <w:szCs w:val="44"/>
          <w:lang w:val="en-US" w:eastAsia="zh-CN"/>
        </w:rPr>
        <w:t>主体</w:t>
      </w:r>
      <w:r>
        <w:rPr>
          <w:rFonts w:hint="eastAsia"/>
          <w:b/>
          <w:bCs/>
          <w:sz w:val="44"/>
          <w:szCs w:val="44"/>
          <w:lang w:eastAsia="zh-CN"/>
        </w:rPr>
        <w:t>公共信用综合评价指标体系</w:t>
      </w:r>
    </w:p>
    <w:p>
      <w:pPr>
        <w:jc w:val="center"/>
        <w:rPr>
          <w:rFonts w:hint="eastAsia"/>
          <w:b/>
          <w:bCs/>
          <w:sz w:val="32"/>
          <w:szCs w:val="32"/>
          <w:lang w:eastAsia="zh-CN"/>
        </w:rPr>
      </w:pPr>
      <w:r>
        <w:rPr>
          <w:rFonts w:hint="eastAsia"/>
          <w:b/>
          <w:bCs/>
          <w:sz w:val="32"/>
          <w:szCs w:val="32"/>
          <w:lang w:eastAsia="zh-CN"/>
        </w:rPr>
        <w:t>（公开征求意见稿）</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926"/>
        <w:gridCol w:w="2671"/>
        <w:gridCol w:w="750"/>
        <w:gridCol w:w="5428"/>
        <w:gridCol w:w="2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一级指标</w:t>
            </w:r>
          </w:p>
        </w:tc>
        <w:tc>
          <w:tcPr>
            <w:tcW w:w="926"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权重</w:t>
            </w:r>
          </w:p>
        </w:tc>
        <w:tc>
          <w:tcPr>
            <w:tcW w:w="2671"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二级指标</w:t>
            </w:r>
          </w:p>
        </w:tc>
        <w:tc>
          <w:tcPr>
            <w:tcW w:w="750"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权重</w:t>
            </w:r>
          </w:p>
        </w:tc>
        <w:tc>
          <w:tcPr>
            <w:tcW w:w="5428" w:type="dxa"/>
            <w:noWrap w:val="0"/>
            <w:vAlign w:val="center"/>
          </w:tcPr>
          <w:p>
            <w:pPr>
              <w:jc w:val="center"/>
              <w:rPr>
                <w:rFonts w:hint="eastAsia"/>
                <w:b/>
                <w:bCs/>
                <w:sz w:val="24"/>
                <w:szCs w:val="24"/>
                <w:vertAlign w:val="baseline"/>
                <w:lang w:eastAsia="zh-CN"/>
              </w:rPr>
            </w:pPr>
            <w:r>
              <w:rPr>
                <w:rFonts w:hint="eastAsia"/>
                <w:b/>
                <w:bCs/>
                <w:sz w:val="24"/>
                <w:szCs w:val="24"/>
                <w:vertAlign w:val="baseline"/>
                <w:lang w:eastAsia="zh-CN"/>
              </w:rPr>
              <w:t>指标说明</w:t>
            </w:r>
          </w:p>
        </w:tc>
        <w:tc>
          <w:tcPr>
            <w:tcW w:w="2910" w:type="dxa"/>
            <w:noWrap w:val="0"/>
            <w:vAlign w:val="center"/>
          </w:tcPr>
          <w:p>
            <w:pPr>
              <w:jc w:val="center"/>
              <w:rPr>
                <w:rFonts w:hint="eastAsia"/>
                <w:b/>
                <w:bCs/>
                <w:sz w:val="24"/>
                <w:szCs w:val="24"/>
                <w:vertAlign w:val="baseline"/>
                <w:lang w:eastAsia="zh-CN"/>
              </w:rPr>
            </w:pPr>
            <w:r>
              <w:rPr>
                <w:rFonts w:hint="eastAsia"/>
                <w:b/>
                <w:bCs/>
                <w:sz w:val="24"/>
                <w:szCs w:val="24"/>
                <w:lang w:eastAsia="zh-CN"/>
              </w:rPr>
              <w:t>信用综合评价等级划分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20" w:type="dxa"/>
            <w:vMerge w:val="restart"/>
            <w:noWrap w:val="0"/>
            <w:vAlign w:val="center"/>
          </w:tcPr>
          <w:p>
            <w:pPr>
              <w:jc w:val="center"/>
              <w:rPr>
                <w:rFonts w:hint="eastAsia"/>
                <w:sz w:val="24"/>
                <w:szCs w:val="24"/>
                <w:vertAlign w:val="baseline"/>
                <w:lang w:eastAsia="zh-CN"/>
              </w:rPr>
            </w:pPr>
            <w:r>
              <w:rPr>
                <w:rFonts w:hint="eastAsia"/>
                <w:sz w:val="24"/>
                <w:szCs w:val="24"/>
                <w:vertAlign w:val="baseline"/>
                <w:lang w:eastAsia="zh-CN"/>
              </w:rPr>
              <w:t>基本情况</w:t>
            </w:r>
          </w:p>
        </w:tc>
        <w:tc>
          <w:tcPr>
            <w:tcW w:w="926" w:type="dxa"/>
            <w:vMerge w:val="restar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50</w:t>
            </w: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经营年限</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正常经营三年及以上信息</w:t>
            </w:r>
          </w:p>
        </w:tc>
        <w:tc>
          <w:tcPr>
            <w:tcW w:w="2910" w:type="dxa"/>
            <w:vMerge w:val="restart"/>
            <w:noWrap w:val="0"/>
            <w:vAlign w:val="top"/>
          </w:tcPr>
          <w:p>
            <w:pPr>
              <w:rPr>
                <w:rFonts w:hint="eastAsia"/>
                <w:sz w:val="24"/>
                <w:szCs w:val="24"/>
                <w:vertAlign w:val="baseline"/>
                <w:lang w:val="en-US" w:eastAsia="zh-CN"/>
              </w:rPr>
            </w:pPr>
            <w:r>
              <w:rPr>
                <w:rFonts w:hint="eastAsia"/>
                <w:sz w:val="24"/>
                <w:szCs w:val="24"/>
                <w:vertAlign w:val="baseline"/>
                <w:lang w:val="en-US" w:eastAsia="zh-CN"/>
              </w:rPr>
              <w:t>满分1000分。</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A级</w:t>
            </w:r>
            <w:r>
              <w:rPr>
                <w:rFonts w:hint="default"/>
                <w:sz w:val="24"/>
                <w:szCs w:val="24"/>
                <w:vertAlign w:val="baseline"/>
                <w:lang w:val="en-US" w:eastAsia="zh-CN"/>
              </w:rPr>
              <w:t>（</w:t>
            </w:r>
            <w:r>
              <w:rPr>
                <w:rFonts w:hint="eastAsia"/>
                <w:sz w:val="24"/>
                <w:szCs w:val="24"/>
                <w:vertAlign w:val="baseline"/>
                <w:lang w:val="en-US" w:eastAsia="zh-CN"/>
              </w:rPr>
              <w:t>880</w:t>
            </w:r>
            <w:r>
              <w:rPr>
                <w:rFonts w:hint="default"/>
                <w:sz w:val="24"/>
                <w:szCs w:val="24"/>
                <w:vertAlign w:val="baseline"/>
                <w:lang w:val="en-US" w:eastAsia="zh-CN"/>
              </w:rPr>
              <w:t>≤A）</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A-级</w:t>
            </w:r>
            <w:r>
              <w:rPr>
                <w:rFonts w:hint="default"/>
                <w:sz w:val="24"/>
                <w:szCs w:val="24"/>
                <w:vertAlign w:val="baseline"/>
                <w:lang w:val="en-US" w:eastAsia="zh-CN"/>
              </w:rPr>
              <w:t>（</w:t>
            </w:r>
            <w:r>
              <w:rPr>
                <w:rFonts w:hint="eastAsia"/>
                <w:sz w:val="24"/>
                <w:szCs w:val="24"/>
                <w:vertAlign w:val="baseline"/>
                <w:lang w:val="en-US" w:eastAsia="zh-CN"/>
              </w:rPr>
              <w:t>850</w:t>
            </w:r>
            <w:r>
              <w:rPr>
                <w:rFonts w:hint="default"/>
                <w:sz w:val="24"/>
                <w:szCs w:val="24"/>
                <w:vertAlign w:val="baseline"/>
                <w:lang w:val="en-US" w:eastAsia="zh-CN"/>
              </w:rPr>
              <w:t>≤A</w:t>
            </w:r>
            <w:r>
              <w:rPr>
                <w:rFonts w:hint="eastAsia"/>
                <w:sz w:val="24"/>
                <w:szCs w:val="24"/>
                <w:vertAlign w:val="baseline"/>
                <w:lang w:val="en-US" w:eastAsia="zh-CN"/>
              </w:rPr>
              <w:t>-</w:t>
            </w:r>
            <w:r>
              <w:rPr>
                <w:rFonts w:hint="default"/>
                <w:sz w:val="24"/>
                <w:szCs w:val="24"/>
                <w:vertAlign w:val="baseline"/>
                <w:lang w:val="en-US" w:eastAsia="zh-CN"/>
              </w:rPr>
              <w:t>&lt;8</w:t>
            </w:r>
            <w:r>
              <w:rPr>
                <w:rFonts w:hint="eastAsia"/>
                <w:sz w:val="24"/>
                <w:szCs w:val="24"/>
                <w:vertAlign w:val="baseline"/>
                <w:lang w:val="en-US" w:eastAsia="zh-CN"/>
              </w:rPr>
              <w:t>8</w:t>
            </w:r>
            <w:r>
              <w:rPr>
                <w:rFonts w:hint="default"/>
                <w:sz w:val="24"/>
                <w:szCs w:val="24"/>
                <w:vertAlign w:val="baseline"/>
                <w:lang w:val="en-US" w:eastAsia="zh-CN"/>
              </w:rPr>
              <w:t>0）</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B+级（820</w:t>
            </w:r>
            <w:r>
              <w:rPr>
                <w:rFonts w:hint="default"/>
                <w:sz w:val="24"/>
                <w:szCs w:val="24"/>
                <w:vertAlign w:val="baseline"/>
                <w:lang w:val="en-US" w:eastAsia="zh-CN"/>
              </w:rPr>
              <w:t>≤</w:t>
            </w:r>
            <w:r>
              <w:rPr>
                <w:rFonts w:hint="eastAsia"/>
                <w:sz w:val="24"/>
                <w:szCs w:val="24"/>
                <w:vertAlign w:val="baseline"/>
                <w:lang w:val="en-US" w:eastAsia="zh-CN"/>
              </w:rPr>
              <w:t>B+</w:t>
            </w:r>
            <w:r>
              <w:rPr>
                <w:rFonts w:hint="default"/>
                <w:sz w:val="24"/>
                <w:szCs w:val="24"/>
                <w:vertAlign w:val="baseline"/>
                <w:lang w:val="en-US" w:eastAsia="zh-CN"/>
              </w:rPr>
              <w:t>&lt;8</w:t>
            </w:r>
            <w:r>
              <w:rPr>
                <w:rFonts w:hint="eastAsia"/>
                <w:sz w:val="24"/>
                <w:szCs w:val="24"/>
                <w:vertAlign w:val="baseline"/>
                <w:lang w:val="en-US" w:eastAsia="zh-CN"/>
              </w:rPr>
              <w:t>5</w:t>
            </w:r>
            <w:r>
              <w:rPr>
                <w:rFonts w:hint="default"/>
                <w:sz w:val="24"/>
                <w:szCs w:val="24"/>
                <w:vertAlign w:val="baseline"/>
                <w:lang w:val="en-US" w:eastAsia="zh-CN"/>
              </w:rPr>
              <w:t>0</w:t>
            </w:r>
            <w:r>
              <w:rPr>
                <w:rFonts w:hint="eastAsia"/>
                <w:sz w:val="24"/>
                <w:szCs w:val="24"/>
                <w:vertAlign w:val="baseline"/>
                <w:lang w:val="en-US" w:eastAsia="zh-CN"/>
              </w:rPr>
              <w:t>）</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B级</w:t>
            </w:r>
            <w:r>
              <w:rPr>
                <w:rFonts w:hint="default"/>
                <w:sz w:val="24"/>
                <w:szCs w:val="24"/>
                <w:vertAlign w:val="baseline"/>
                <w:lang w:val="en-US" w:eastAsia="zh-CN"/>
              </w:rPr>
              <w:t>（</w:t>
            </w:r>
            <w:r>
              <w:rPr>
                <w:rFonts w:hint="eastAsia"/>
                <w:sz w:val="24"/>
                <w:szCs w:val="24"/>
                <w:vertAlign w:val="baseline"/>
                <w:lang w:val="en-US" w:eastAsia="zh-CN"/>
              </w:rPr>
              <w:t>770</w:t>
            </w:r>
            <w:r>
              <w:rPr>
                <w:rFonts w:hint="default"/>
                <w:sz w:val="24"/>
                <w:szCs w:val="24"/>
                <w:vertAlign w:val="baseline"/>
                <w:lang w:val="en-US" w:eastAsia="zh-CN"/>
              </w:rPr>
              <w:t>≤</w:t>
            </w:r>
            <w:r>
              <w:rPr>
                <w:rFonts w:hint="eastAsia"/>
                <w:sz w:val="24"/>
                <w:szCs w:val="24"/>
                <w:vertAlign w:val="baseline"/>
                <w:lang w:val="en-US" w:eastAsia="zh-CN"/>
              </w:rPr>
              <w:t>B</w:t>
            </w:r>
            <w:r>
              <w:rPr>
                <w:rFonts w:hint="default"/>
                <w:sz w:val="24"/>
                <w:szCs w:val="24"/>
                <w:vertAlign w:val="baseline"/>
                <w:lang w:val="en-US" w:eastAsia="zh-CN"/>
              </w:rPr>
              <w:t>&lt;8</w:t>
            </w:r>
            <w:r>
              <w:rPr>
                <w:rFonts w:hint="eastAsia"/>
                <w:sz w:val="24"/>
                <w:szCs w:val="24"/>
                <w:vertAlign w:val="baseline"/>
                <w:lang w:val="en-US" w:eastAsia="zh-CN"/>
              </w:rPr>
              <w:t>2</w:t>
            </w:r>
            <w:r>
              <w:rPr>
                <w:rFonts w:hint="default"/>
                <w:sz w:val="24"/>
                <w:szCs w:val="24"/>
                <w:vertAlign w:val="baseline"/>
                <w:lang w:val="en-US" w:eastAsia="zh-CN"/>
              </w:rPr>
              <w:t>0）</w:t>
            </w:r>
          </w:p>
          <w:p>
            <w:pPr>
              <w:numPr>
                <w:ilvl w:val="0"/>
                <w:numId w:val="1"/>
              </w:numPr>
              <w:rPr>
                <w:rFonts w:hint="default"/>
                <w:sz w:val="24"/>
                <w:szCs w:val="24"/>
                <w:vertAlign w:val="baseline"/>
                <w:lang w:val="en-US" w:eastAsia="zh-CN"/>
              </w:rPr>
            </w:pPr>
            <w:r>
              <w:rPr>
                <w:rFonts w:hint="eastAsia"/>
                <w:sz w:val="24"/>
                <w:szCs w:val="24"/>
                <w:vertAlign w:val="baseline"/>
                <w:lang w:val="en-US" w:eastAsia="zh-CN"/>
              </w:rPr>
              <w:t>B-级（730</w:t>
            </w:r>
            <w:r>
              <w:rPr>
                <w:rFonts w:hint="default"/>
                <w:sz w:val="24"/>
                <w:szCs w:val="24"/>
                <w:vertAlign w:val="baseline"/>
                <w:lang w:val="en-US" w:eastAsia="zh-CN"/>
              </w:rPr>
              <w:t>≤</w:t>
            </w:r>
            <w:r>
              <w:rPr>
                <w:rFonts w:hint="eastAsia"/>
                <w:sz w:val="24"/>
                <w:szCs w:val="24"/>
                <w:vertAlign w:val="baseline"/>
                <w:lang w:val="en-US" w:eastAsia="zh-CN"/>
              </w:rPr>
              <w:t>B-</w:t>
            </w:r>
            <w:r>
              <w:rPr>
                <w:rFonts w:hint="default"/>
                <w:sz w:val="24"/>
                <w:szCs w:val="24"/>
                <w:vertAlign w:val="baseline"/>
                <w:lang w:val="en-US" w:eastAsia="zh-CN"/>
              </w:rPr>
              <w:t>&lt;</w:t>
            </w:r>
            <w:r>
              <w:rPr>
                <w:rFonts w:hint="eastAsia"/>
                <w:sz w:val="24"/>
                <w:szCs w:val="24"/>
                <w:vertAlign w:val="baseline"/>
                <w:lang w:val="en-US" w:eastAsia="zh-CN"/>
              </w:rPr>
              <w:t>770）</w:t>
            </w:r>
          </w:p>
          <w:p>
            <w:pPr>
              <w:rPr>
                <w:rFonts w:hint="default"/>
                <w:sz w:val="24"/>
                <w:szCs w:val="24"/>
                <w:vertAlign w:val="baseline"/>
                <w:lang w:val="en-US" w:eastAsia="zh-CN"/>
              </w:rPr>
            </w:pPr>
            <w:r>
              <w:rPr>
                <w:rFonts w:hint="eastAsia"/>
                <w:sz w:val="24"/>
                <w:szCs w:val="24"/>
                <w:vertAlign w:val="baseline"/>
                <w:lang w:val="en-US" w:eastAsia="zh-CN"/>
              </w:rPr>
              <w:t>6、C级（700≤C&lt;730）</w:t>
            </w:r>
          </w:p>
          <w:p>
            <w:pPr>
              <w:rPr>
                <w:rFonts w:hint="default"/>
                <w:sz w:val="24"/>
                <w:szCs w:val="24"/>
                <w:vertAlign w:val="baseline"/>
                <w:lang w:val="en-US" w:eastAsia="zh-CN"/>
              </w:rPr>
            </w:pPr>
            <w:r>
              <w:rPr>
                <w:rFonts w:hint="eastAsia"/>
                <w:sz w:val="24"/>
                <w:szCs w:val="24"/>
                <w:vertAlign w:val="baseline"/>
                <w:lang w:val="en-US" w:eastAsia="zh-CN"/>
              </w:rPr>
              <w:t>7、C-级（670≤C-&lt;700）</w:t>
            </w:r>
          </w:p>
          <w:p>
            <w:pPr>
              <w:rPr>
                <w:rFonts w:hint="default"/>
                <w:sz w:val="24"/>
                <w:szCs w:val="24"/>
                <w:vertAlign w:val="baseline"/>
                <w:lang w:val="en-US" w:eastAsia="zh-CN"/>
              </w:rPr>
            </w:pPr>
            <w:r>
              <w:rPr>
                <w:rFonts w:hint="eastAsia"/>
                <w:sz w:val="24"/>
                <w:szCs w:val="24"/>
                <w:vertAlign w:val="baseline"/>
                <w:lang w:val="en-US" w:eastAsia="zh-CN"/>
              </w:rPr>
              <w:t>8、D级（610≤D&lt;670）</w:t>
            </w:r>
          </w:p>
          <w:p>
            <w:pPr>
              <w:rPr>
                <w:rFonts w:hint="eastAsia"/>
                <w:sz w:val="24"/>
                <w:szCs w:val="24"/>
                <w:vertAlign w:val="baseline"/>
                <w:lang w:eastAsia="zh-CN"/>
              </w:rPr>
            </w:pPr>
            <w:r>
              <w:rPr>
                <w:rFonts w:hint="eastAsia"/>
                <w:sz w:val="24"/>
                <w:szCs w:val="24"/>
                <w:vertAlign w:val="baseline"/>
                <w:lang w:val="en-US" w:eastAsia="zh-CN"/>
              </w:rPr>
              <w:t>9、E级（E&lt;610）</w:t>
            </w:r>
          </w:p>
          <w:p>
            <w:pPr>
              <w:rPr>
                <w:rFonts w:hint="eastAsia"/>
                <w:sz w:val="24"/>
                <w:szCs w:val="24"/>
                <w:vertAlign w:val="baseline"/>
                <w:lang w:eastAsia="zh-CN"/>
              </w:rPr>
            </w:pPr>
          </w:p>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1220" w:type="dxa"/>
            <w:vMerge w:val="continue"/>
            <w:noWrap w:val="0"/>
            <w:vAlign w:val="center"/>
          </w:tcPr>
          <w:p>
            <w:pPr>
              <w:jc w:val="center"/>
              <w:rPr>
                <w:sz w:val="24"/>
                <w:szCs w:val="24"/>
              </w:rPr>
            </w:pPr>
          </w:p>
        </w:tc>
        <w:tc>
          <w:tcPr>
            <w:tcW w:w="926" w:type="dxa"/>
            <w:vMerge w:val="continue"/>
            <w:noWrap w:val="0"/>
            <w:vAlign w:val="center"/>
          </w:tcPr>
          <w:p>
            <w:pPr>
              <w:jc w:val="center"/>
              <w:rPr>
                <w:sz w:val="24"/>
                <w:szCs w:val="24"/>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主要人员</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法定代表人、董监高、实际控制人等主要人员列入严重失信名单等信息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restart"/>
            <w:noWrap w:val="0"/>
            <w:vAlign w:val="center"/>
          </w:tcPr>
          <w:p>
            <w:pPr>
              <w:jc w:val="center"/>
              <w:rPr>
                <w:rFonts w:hint="eastAsia"/>
                <w:sz w:val="24"/>
                <w:szCs w:val="24"/>
                <w:vertAlign w:val="baseline"/>
                <w:lang w:eastAsia="zh-CN"/>
              </w:rPr>
            </w:pPr>
            <w:r>
              <w:rPr>
                <w:rFonts w:hint="eastAsia"/>
                <w:sz w:val="24"/>
                <w:szCs w:val="24"/>
                <w:vertAlign w:val="baseline"/>
                <w:lang w:eastAsia="zh-CN"/>
              </w:rPr>
              <w:t>经营状况</w:t>
            </w:r>
          </w:p>
        </w:tc>
        <w:tc>
          <w:tcPr>
            <w:tcW w:w="926" w:type="dxa"/>
            <w:vMerge w:val="restar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830</w:t>
            </w: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经营异常</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被列入经营异常名录信息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申请破产</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向法院申请破产信息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行政处罚</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90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受到行政处罚信息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行政强制</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受到行政强制信息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社保缴纳</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欠缴社保费用信息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税费缴纳</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欠缴税款信息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水费缴纳</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欠缴水费信息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电费缴纳</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欠缴电费信息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监督检查</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eastAsia="zh-CN"/>
              </w:rPr>
              <w:t>在部门行政检查、抽查过程中被发现存在问题信息（不包含作出行政处罚或行政强制）</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环境保护</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eastAsia="宋体"/>
                <w:sz w:val="24"/>
                <w:szCs w:val="24"/>
                <w:vertAlign w:val="baseline"/>
                <w:lang w:val="en-US" w:eastAsia="zh-CN"/>
              </w:rPr>
            </w:pPr>
            <w:r>
              <w:rPr>
                <w:rFonts w:hint="eastAsia"/>
                <w:sz w:val="24"/>
                <w:szCs w:val="24"/>
                <w:vertAlign w:val="baseline"/>
                <w:lang w:eastAsia="zh-CN"/>
              </w:rPr>
              <w:t>在环保等级评价被评为</w:t>
            </w:r>
            <w:r>
              <w:rPr>
                <w:rFonts w:hint="eastAsia"/>
                <w:sz w:val="24"/>
                <w:szCs w:val="24"/>
                <w:vertAlign w:val="baseline"/>
                <w:lang w:val="en-US" w:eastAsia="zh-CN"/>
              </w:rPr>
              <w:t>C级（含C级）以下等级或未按时、如实进行环境信息依法披露的信息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政府采购</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在政府采购供应商、代理机构信用评价被评为A级以下等级的信息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违反承诺和恶意举报</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在办理行政审批或证明事项过程中作出信用承诺但未履行的信息、企业向有关党政机关投诉举报但经核实投诉举报事项与事实不符的信息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合同履约</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公共资源配置领域合同违约信息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黑名单</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150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被列入严重失信名单信息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关联企业</w:t>
            </w:r>
          </w:p>
        </w:tc>
        <w:tc>
          <w:tcPr>
            <w:tcW w:w="750" w:type="dxa"/>
            <w:noWrap w:val="0"/>
            <w:vAlign w:val="center"/>
          </w:tcPr>
          <w:p>
            <w:pPr>
              <w:jc w:val="center"/>
              <w:rPr>
                <w:rFonts w:hint="eastAsia"/>
                <w:sz w:val="24"/>
                <w:szCs w:val="24"/>
                <w:vertAlign w:val="baseline"/>
                <w:lang w:val="en-US" w:eastAsia="zh-CN"/>
              </w:rPr>
            </w:pPr>
            <w:r>
              <w:rPr>
                <w:rFonts w:hint="eastAsia"/>
                <w:sz w:val="24"/>
                <w:szCs w:val="24"/>
                <w:vertAlign w:val="baseline"/>
                <w:lang w:val="en-US" w:eastAsia="zh-CN"/>
              </w:rPr>
              <w:t>20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关联企业存在不良信用记录的信息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经营能力</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val="en-US" w:eastAsia="zh-CN"/>
              </w:rPr>
              <w:t>被有关部门纳入国家或省政策兑现范围</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红名单</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被认定为守信联合激励对象信息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Merge w:val="continue"/>
            <w:noWrap w:val="0"/>
            <w:vAlign w:val="top"/>
          </w:tcPr>
          <w:p>
            <w:pPr>
              <w:jc w:val="center"/>
              <w:rPr>
                <w:rFonts w:hint="eastAsia"/>
                <w:sz w:val="24"/>
                <w:szCs w:val="24"/>
                <w:vertAlign w:val="baseline"/>
                <w:lang w:eastAsia="zh-CN"/>
              </w:rPr>
            </w:pPr>
          </w:p>
        </w:tc>
        <w:tc>
          <w:tcPr>
            <w:tcW w:w="926" w:type="dxa"/>
            <w:vMerge w:val="continue"/>
            <w:noWrap w:val="0"/>
            <w:vAlign w:val="top"/>
          </w:tcPr>
          <w:p>
            <w:pPr>
              <w:jc w:val="cente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国家公共信用综合评价</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5428" w:type="dxa"/>
            <w:noWrap w:val="0"/>
            <w:vAlign w:val="top"/>
          </w:tcPr>
          <w:p>
            <w:pPr>
              <w:rPr>
                <w:rFonts w:hint="default"/>
                <w:sz w:val="24"/>
                <w:szCs w:val="24"/>
                <w:vertAlign w:val="baseline"/>
                <w:lang w:val="en-US" w:eastAsia="zh-CN"/>
              </w:rPr>
            </w:pPr>
            <w:r>
              <w:rPr>
                <w:rFonts w:hint="eastAsia"/>
                <w:sz w:val="24"/>
                <w:szCs w:val="24"/>
                <w:vertAlign w:val="baseline"/>
                <w:lang w:eastAsia="zh-CN"/>
              </w:rPr>
              <w:t>在国家公共信用综合评价中被评为“优”或“良”等级</w:t>
            </w:r>
            <w:r>
              <w:rPr>
                <w:rFonts w:hint="eastAsia"/>
                <w:sz w:val="24"/>
                <w:szCs w:val="24"/>
                <w:vertAlign w:val="baseline"/>
                <w:lang w:val="en-US" w:eastAsia="zh-CN"/>
              </w:rPr>
              <w:t>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20" w:type="dxa"/>
            <w:vMerge w:val="restart"/>
            <w:noWrap w:val="0"/>
            <w:vAlign w:val="center"/>
          </w:tcPr>
          <w:p>
            <w:pPr>
              <w:jc w:val="center"/>
              <w:rPr>
                <w:rFonts w:hint="eastAsia"/>
                <w:sz w:val="24"/>
                <w:szCs w:val="24"/>
                <w:vertAlign w:val="baseline"/>
                <w:lang w:eastAsia="zh-CN"/>
              </w:rPr>
            </w:pPr>
            <w:r>
              <w:rPr>
                <w:rFonts w:hint="eastAsia"/>
                <w:sz w:val="24"/>
                <w:szCs w:val="24"/>
                <w:vertAlign w:val="baseline"/>
                <w:lang w:eastAsia="zh-CN"/>
              </w:rPr>
              <w:t>社会责任</w:t>
            </w:r>
          </w:p>
        </w:tc>
        <w:tc>
          <w:tcPr>
            <w:tcW w:w="926" w:type="dxa"/>
            <w:vMerge w:val="restart"/>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120</w:t>
            </w: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荣誉奖励</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60</w:t>
            </w:r>
          </w:p>
        </w:tc>
        <w:tc>
          <w:tcPr>
            <w:tcW w:w="5428" w:type="dxa"/>
            <w:noWrap w:val="0"/>
            <w:vAlign w:val="top"/>
          </w:tcPr>
          <w:p>
            <w:pPr>
              <w:rPr>
                <w:rFonts w:hint="eastAsia" w:eastAsia="宋体"/>
                <w:sz w:val="24"/>
                <w:szCs w:val="24"/>
                <w:vertAlign w:val="baseline"/>
                <w:lang w:val="en-US" w:eastAsia="zh-CN"/>
              </w:rPr>
            </w:pPr>
            <w:r>
              <w:rPr>
                <w:rFonts w:hint="eastAsia"/>
                <w:sz w:val="24"/>
                <w:szCs w:val="24"/>
                <w:vertAlign w:val="baseline"/>
                <w:lang w:eastAsia="zh-CN"/>
              </w:rPr>
              <w:t>受到县级以上人民政府或政府部门表彰奖励信息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220" w:type="dxa"/>
            <w:vMerge w:val="continue"/>
            <w:noWrap w:val="0"/>
            <w:vAlign w:val="top"/>
          </w:tcPr>
          <w:p>
            <w:pPr>
              <w:rPr>
                <w:rFonts w:hint="eastAsia"/>
                <w:sz w:val="24"/>
                <w:szCs w:val="24"/>
                <w:vertAlign w:val="baseline"/>
                <w:lang w:eastAsia="zh-CN"/>
              </w:rPr>
            </w:pPr>
          </w:p>
        </w:tc>
        <w:tc>
          <w:tcPr>
            <w:tcW w:w="926" w:type="dxa"/>
            <w:vMerge w:val="continue"/>
            <w:noWrap w:val="0"/>
            <w:vAlign w:val="top"/>
          </w:tcPr>
          <w:p>
            <w:pPr>
              <w:rPr>
                <w:rFonts w:hint="eastAsia"/>
                <w:sz w:val="24"/>
                <w:szCs w:val="24"/>
                <w:vertAlign w:val="baseline"/>
                <w:lang w:val="en-US" w:eastAsia="zh-CN"/>
              </w:rPr>
            </w:p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慈善</w:t>
            </w:r>
            <w:r>
              <w:rPr>
                <w:rFonts w:hint="default"/>
                <w:sz w:val="24"/>
                <w:szCs w:val="24"/>
                <w:vertAlign w:val="baseline"/>
                <w:lang w:eastAsia="zh-CN"/>
              </w:rPr>
              <w:t>志愿</w:t>
            </w:r>
            <w:r>
              <w:rPr>
                <w:rFonts w:hint="eastAsia"/>
                <w:sz w:val="24"/>
                <w:szCs w:val="24"/>
                <w:vertAlign w:val="baseline"/>
                <w:lang w:val="en-US" w:eastAsia="zh-CN"/>
              </w:rPr>
              <w:t>活动</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慈善捐助</w:t>
            </w:r>
            <w:r>
              <w:rPr>
                <w:rFonts w:hint="eastAsia"/>
                <w:sz w:val="24"/>
                <w:szCs w:val="24"/>
                <w:vertAlign w:val="baseline"/>
                <w:lang w:val="en-US" w:eastAsia="zh-CN"/>
              </w:rPr>
              <w:t>或志愿服务</w:t>
            </w:r>
            <w:r>
              <w:rPr>
                <w:rFonts w:hint="eastAsia"/>
                <w:sz w:val="24"/>
                <w:szCs w:val="24"/>
                <w:vertAlign w:val="baseline"/>
                <w:lang w:eastAsia="zh-CN"/>
              </w:rPr>
              <w:t>信息</w:t>
            </w:r>
          </w:p>
        </w:tc>
        <w:tc>
          <w:tcPr>
            <w:tcW w:w="2910" w:type="dxa"/>
            <w:vMerge w:val="continue"/>
            <w:noWrap w:val="0"/>
            <w:vAlign w:val="top"/>
          </w:tcPr>
          <w:p>
            <w:pPr>
              <w:rPr>
                <w:rFonts w:hint="eastAsia"/>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220" w:type="dxa"/>
            <w:vMerge w:val="continue"/>
            <w:noWrap w:val="0"/>
            <w:vAlign w:val="top"/>
          </w:tcPr>
          <w:p/>
        </w:tc>
        <w:tc>
          <w:tcPr>
            <w:tcW w:w="926" w:type="dxa"/>
            <w:vMerge w:val="continue"/>
            <w:noWrap w:val="0"/>
            <w:vAlign w:val="top"/>
          </w:tcPr>
          <w:p/>
        </w:tc>
        <w:tc>
          <w:tcPr>
            <w:tcW w:w="2671" w:type="dxa"/>
            <w:noWrap w:val="0"/>
            <w:vAlign w:val="center"/>
          </w:tcPr>
          <w:p>
            <w:pPr>
              <w:jc w:val="center"/>
              <w:rPr>
                <w:rFonts w:hint="eastAsia"/>
                <w:sz w:val="24"/>
                <w:szCs w:val="24"/>
                <w:vertAlign w:val="baseline"/>
                <w:lang w:eastAsia="zh-CN"/>
              </w:rPr>
            </w:pPr>
            <w:r>
              <w:rPr>
                <w:rFonts w:hint="eastAsia"/>
                <w:sz w:val="24"/>
                <w:szCs w:val="24"/>
                <w:vertAlign w:val="baseline"/>
                <w:lang w:eastAsia="zh-CN"/>
              </w:rPr>
              <w:t>主动公示承诺</w:t>
            </w:r>
          </w:p>
        </w:tc>
        <w:tc>
          <w:tcPr>
            <w:tcW w:w="750"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30</w:t>
            </w:r>
          </w:p>
        </w:tc>
        <w:tc>
          <w:tcPr>
            <w:tcW w:w="5428" w:type="dxa"/>
            <w:noWrap w:val="0"/>
            <w:vAlign w:val="top"/>
          </w:tcPr>
          <w:p>
            <w:pPr>
              <w:rPr>
                <w:rFonts w:hint="eastAsia"/>
                <w:sz w:val="24"/>
                <w:szCs w:val="24"/>
                <w:vertAlign w:val="baseline"/>
                <w:lang w:eastAsia="zh-CN"/>
              </w:rPr>
            </w:pPr>
            <w:r>
              <w:rPr>
                <w:rFonts w:hint="eastAsia"/>
                <w:sz w:val="24"/>
                <w:szCs w:val="24"/>
                <w:vertAlign w:val="baseline"/>
                <w:lang w:eastAsia="zh-CN"/>
              </w:rPr>
              <w:t>通过信用中国（黑龙江）网站主动向社会做出公开信用承诺信息</w:t>
            </w:r>
            <w:bookmarkStart w:id="0" w:name="_GoBack"/>
            <w:bookmarkEnd w:id="0"/>
          </w:p>
        </w:tc>
        <w:tc>
          <w:tcPr>
            <w:tcW w:w="2910" w:type="dxa"/>
            <w:vMerge w:val="continue"/>
            <w:noWrap w:val="0"/>
            <w:vAlign w:val="top"/>
          </w:tcPr>
          <w:p>
            <w:pPr>
              <w:rPr>
                <w:rFonts w:hint="eastAsia"/>
                <w:sz w:val="24"/>
                <w:szCs w:val="24"/>
                <w:vertAlign w:val="baseline"/>
                <w:lang w:eastAsia="zh-CN"/>
              </w:rPr>
            </w:pPr>
          </w:p>
        </w:tc>
      </w:tr>
    </w:tbl>
    <w:p>
      <w:pPr>
        <w:rPr>
          <w:rFonts w:hint="eastAsia"/>
          <w:lang w:eastAsia="zh-CN"/>
        </w:rPr>
      </w:pPr>
    </w:p>
    <w:p>
      <w:pPr>
        <w:ind w:left="210" w:hanging="210" w:hangingChars="100"/>
        <w:rPr>
          <w:rFonts w:hint="eastAsia"/>
          <w:lang w:eastAsia="zh-CN"/>
        </w:rPr>
      </w:pPr>
    </w:p>
    <w:p/>
    <w:sectPr>
      <w:footerReference r:id="rId3" w:type="default"/>
      <w:pgSz w:w="16838" w:h="11906" w:orient="landscape"/>
      <w:pgMar w:top="1800" w:right="1440" w:bottom="1800"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B7CC9"/>
    <w:multiLevelType w:val="singleLevel"/>
    <w:tmpl w:val="59BB7CC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jODk5YWNjYWE2MDU0NDBhYjE2MjVjOWE5OGZiNTEifQ=="/>
  </w:docVars>
  <w:rsids>
    <w:rsidRoot w:val="4DB47625"/>
    <w:rsid w:val="01AC264C"/>
    <w:rsid w:val="01CF1530"/>
    <w:rsid w:val="045B52FD"/>
    <w:rsid w:val="047B14FB"/>
    <w:rsid w:val="05502988"/>
    <w:rsid w:val="05581275"/>
    <w:rsid w:val="099C263F"/>
    <w:rsid w:val="09CB082F"/>
    <w:rsid w:val="0A1906CF"/>
    <w:rsid w:val="0B0E6C31"/>
    <w:rsid w:val="0E5D571C"/>
    <w:rsid w:val="0ED44B04"/>
    <w:rsid w:val="108C6069"/>
    <w:rsid w:val="11A9143F"/>
    <w:rsid w:val="12E110C3"/>
    <w:rsid w:val="14AF209F"/>
    <w:rsid w:val="15135B04"/>
    <w:rsid w:val="154957A7"/>
    <w:rsid w:val="170D2F01"/>
    <w:rsid w:val="18E27F84"/>
    <w:rsid w:val="19B25BFD"/>
    <w:rsid w:val="19C5529B"/>
    <w:rsid w:val="1A766595"/>
    <w:rsid w:val="1BF14125"/>
    <w:rsid w:val="1D2A3AA4"/>
    <w:rsid w:val="1D3F4265"/>
    <w:rsid w:val="1E797C9E"/>
    <w:rsid w:val="1F584B85"/>
    <w:rsid w:val="1FDF4AED"/>
    <w:rsid w:val="22DA545F"/>
    <w:rsid w:val="24030E99"/>
    <w:rsid w:val="24423C0B"/>
    <w:rsid w:val="252F3F10"/>
    <w:rsid w:val="26681488"/>
    <w:rsid w:val="28377363"/>
    <w:rsid w:val="2A3967D5"/>
    <w:rsid w:val="2B41674B"/>
    <w:rsid w:val="2B65068C"/>
    <w:rsid w:val="2CF45512"/>
    <w:rsid w:val="2D360531"/>
    <w:rsid w:val="2F470E59"/>
    <w:rsid w:val="329C5F66"/>
    <w:rsid w:val="339715FE"/>
    <w:rsid w:val="353F2BBC"/>
    <w:rsid w:val="35E548A3"/>
    <w:rsid w:val="35E76198"/>
    <w:rsid w:val="3AA77106"/>
    <w:rsid w:val="3D781B3C"/>
    <w:rsid w:val="3F203FA2"/>
    <w:rsid w:val="40BE57CC"/>
    <w:rsid w:val="40DE086C"/>
    <w:rsid w:val="40FF07E3"/>
    <w:rsid w:val="417E0955"/>
    <w:rsid w:val="41AA2E44"/>
    <w:rsid w:val="41E04445"/>
    <w:rsid w:val="423D7815"/>
    <w:rsid w:val="44B738AE"/>
    <w:rsid w:val="44E346A3"/>
    <w:rsid w:val="461B1C1B"/>
    <w:rsid w:val="46256F3D"/>
    <w:rsid w:val="46364CA7"/>
    <w:rsid w:val="46FD7572"/>
    <w:rsid w:val="475D3530"/>
    <w:rsid w:val="47A964E3"/>
    <w:rsid w:val="4807456F"/>
    <w:rsid w:val="49301F7B"/>
    <w:rsid w:val="4C840219"/>
    <w:rsid w:val="4D3A1AFE"/>
    <w:rsid w:val="4DB47625"/>
    <w:rsid w:val="4DF06083"/>
    <w:rsid w:val="4F8E636E"/>
    <w:rsid w:val="52184B6E"/>
    <w:rsid w:val="522579B3"/>
    <w:rsid w:val="54556C40"/>
    <w:rsid w:val="5618224A"/>
    <w:rsid w:val="56424715"/>
    <w:rsid w:val="5DA300CB"/>
    <w:rsid w:val="5E1D7B0C"/>
    <w:rsid w:val="5F4B3119"/>
    <w:rsid w:val="5FC04496"/>
    <w:rsid w:val="602C321D"/>
    <w:rsid w:val="63A4729C"/>
    <w:rsid w:val="647D15E4"/>
    <w:rsid w:val="6574707F"/>
    <w:rsid w:val="65D200F0"/>
    <w:rsid w:val="66BE2423"/>
    <w:rsid w:val="6C206C03"/>
    <w:rsid w:val="6C3E7930"/>
    <w:rsid w:val="71D61D0F"/>
    <w:rsid w:val="783D39E7"/>
    <w:rsid w:val="7B222932"/>
    <w:rsid w:val="7D921C5C"/>
    <w:rsid w:val="7DE218F2"/>
    <w:rsid w:val="7DF83156"/>
    <w:rsid w:val="7FCD09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683</Words>
  <Characters>783</Characters>
  <Lines>0</Lines>
  <Paragraphs>0</Paragraphs>
  <TotalTime>22</TotalTime>
  <ScaleCrop>false</ScaleCrop>
  <LinksUpToDate>false</LinksUpToDate>
  <CharactersWithSpaces>783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2021-05-27T01:24:00Z</dcterms:created>
  <dc:creator>维</dc:creator>
  <cp:lastModifiedBy>ʚɞ</cp:lastModifiedBy>
  <cp:lastPrinted>2024-10-17T01:13:42Z</cp:lastPrinted>
  <dcterms:modified xsi:type="dcterms:W3CDTF">2024-10-17T01:42:11Z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52CB7CDFB9354E8F915C08BB1AD8C922_13</vt:lpwstr>
  </property>
</Properties>
</file>